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skyward-aerospace-solutions"/>
    <w:p>
      <w:pPr>
        <w:pStyle w:val="Heading1"/>
      </w:pPr>
      <w:r>
        <w:t xml:space="preserve">Skyward Aerospace Solutions</w:t>
      </w:r>
    </w:p>
    <w:p>
      <w:pPr>
        <w:pStyle w:val="FirstParagraph"/>
      </w:pPr>
      <w:r>
        <w:t xml:space="preserve">Level 12, Menara KLCC, 50088 Kuala Lumpur, Malaysia</w:t>
      </w:r>
    </w:p>
    <w:p>
      <w:pPr>
        <w:pStyle w:val="BodyText"/>
      </w:pPr>
      <w:r>
        <w:t xml:space="preserve">Tel: +603-2188-9900 | Email: billing@skywardaero.my</w:t>
      </w:r>
    </w:p>
    <w:p>
      <w:pPr>
        <w:pStyle w:val="BodyText"/>
      </w:pPr>
      <w:r>
        <w:t xml:space="preserve">Company Reg: 201801023456 (1345678-X)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INV-KL-2023-0892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Ref:</w:t>
      </w:r>
      <w:r>
        <w:t xml:space="preserve"> </w:t>
      </w:r>
      <w:r>
        <w:t xml:space="preserve">AERO-STR-404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Malaysia Aviation Authority (MAA)</w:t>
      </w:r>
    </w:p>
    <w:p>
      <w:pPr>
        <w:pStyle w:val="BodyText"/>
      </w:pPr>
      <w:r>
        <w:t xml:space="preserve">Attn: Director of Engineering Operations</w:t>
      </w:r>
    </w:p>
    <w:p>
      <w:pPr>
        <w:pStyle w:val="BodyText"/>
      </w:pPr>
      <w:r>
        <w:t xml:space="preserve">Menara MAA, Jalan Sultan Ismail</w:t>
      </w:r>
    </w:p>
    <w:p>
      <w:pPr>
        <w:pStyle w:val="BodyText"/>
      </w:pPr>
      <w:r>
        <w:t xml:space="preserve">50250 Kuala Lumpur, Malaysia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Aerospace Engineering Consultancy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Kuala Lumpur International Airport (KLIA) Zone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Structural integrity analysis and aerodynamic optimization for regional aircraft fleet maintenance protocols.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Aerospace Engineer Consultation</w:t>
            </w:r>
            <w:r>
              <w:br/>
            </w:r>
            <w:r>
              <w:t xml:space="preserve">Comprehensive review of airframe stress tolerances for the new fleet integration. This service includes on-site assessment at the Kuala Lumpur facility and detailed reporting on material fatigue resistance.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Computational Fluid Dynamics (CFD) Analysis</w:t>
            </w:r>
            <w:r>
              <w:br/>
            </w:r>
            <w:r>
              <w:t xml:space="preserve">Advanced simulation of airflow dynamics over wing structures to optimize fuel efficiency. Performed using high-performance computing clusters located in Malaysia.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of technical documentation to meet Civil Aviation Authority of Malaysia (CAAM) standards. Ensures all aerospace engineering modifications adhere to local and international safety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Efficiency Audit</w:t>
            </w:r>
            <w:r>
              <w:br/>
            </w:r>
            <w:r>
              <w:t xml:space="preserve">Detailed analysis of engine performance metrics. The Aerospace Engineer team conducted thermal imaging and exhaust gas temperature analysis to recommend maintenance schedules.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Training Workshop</w:t>
            </w:r>
            <w:r>
              <w:br/>
            </w:r>
            <w:r>
              <w:t xml:space="preserve">On-site training for local engineering staff in Kuala Lumpur regarding new avionics integration and safety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RM 50,550.00</w:t>
      </w:r>
    </w:p>
    <w:p>
      <w:pPr>
        <w:pStyle w:val="BodyText"/>
      </w:pPr>
      <w:r>
        <w:t xml:space="preserve">SST (6%):</w:t>
      </w:r>
      <w:r>
        <w:t xml:space="preserve"> </w:t>
      </w:r>
      <w:r>
        <w:t xml:space="preserve">RM 3,033.00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 RM 0.00</w:t>
      </w:r>
    </w:p>
    <w:p>
      <w:pPr>
        <w:pStyle w:val="BodyText"/>
      </w:pPr>
      <w:r>
        <w:t xml:space="preserve">TOTAL DUE (MYR):</w:t>
      </w:r>
      <w:r>
        <w:t xml:space="preserve"> </w:t>
      </w:r>
      <w:r>
        <w:t xml:space="preserve">RM 53,583.00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a penalty of 1.5% per month.</w:t>
      </w:r>
    </w:p>
    <w:p>
      <w:pPr>
        <w:pStyle w:val="BodyText"/>
      </w:pPr>
      <w:r>
        <w:t xml:space="preserve">2. All services provided by our Aerospace Engineer team are subject to the professional standards set by the Board of Engineers Malaysia (BEM).</w:t>
      </w:r>
    </w:p>
    <w:p>
      <w:pPr>
        <w:pStyle w:val="BodyText"/>
      </w:pPr>
      <w:r>
        <w:t xml:space="preserve">3. This Invoice is valid for services rendered in Malaysia Kuala Lumpur and surrounding industrial zones.</w:t>
      </w:r>
    </w:p>
    <w:p>
      <w:pPr>
        <w:pStyle w:val="BodyText"/>
      </w:pPr>
      <w:r>
        <w:t xml:space="preserve">4. Please quote the Invoice Number (INV-KL-2023-0892) in all correspondence and payments.</w:t>
      </w:r>
    </w:p>
    <w:p>
      <w:pPr>
        <w:pStyle w:val="BodyText"/>
      </w:pPr>
      <w:r>
        <w:t xml:space="preserve">5. Intellectual property rights regarding all designs and analyses remain with Skyward Aerospace Solutions until full payment is received.</w:t>
      </w:r>
    </w:p>
    <w:bookmarkEnd w:id="24"/>
    <w:bookmarkStart w:id="25" w:name="banking-details"/>
    <w:p>
      <w:pPr>
        <w:pStyle w:val="Heading4"/>
      </w:pPr>
      <w:r>
        <w:t xml:space="preserve">Banking Details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Maybank Berhad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Kuala Lumpur City Centre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Skyward Aerospace Solutions Sdn Bhd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5678 9012 3456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Malaysian Ringgit (MYR)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Aiman Razak</w:t>
      </w:r>
    </w:p>
    <w:p>
      <w:pPr>
        <w:pStyle w:val="BodyText"/>
      </w:pPr>
      <w:r>
        <w:t xml:space="preserve">Chief Aerospace Engineer</w:t>
      </w:r>
    </w:p>
    <w:p>
      <w:pPr>
        <w:pStyle w:val="BodyText"/>
      </w:pPr>
      <w:r>
        <w:t xml:space="preserve">Skyward Aerospace Solutions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We appreciate your trust in our Aerospace Engineering expertise.</w:t>
      </w:r>
    </w:p>
    <w:p>
      <w:pPr>
        <w:pStyle w:val="BodyText"/>
      </w:pPr>
      <w:r>
        <w:t xml:space="preserve">Skyward Aerospace Solutions Sdn Bhd | Level 12, Menara KLCC, 50088 Kuala Lumpur, Malaysia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2026-10-10T03:00:19Z</dcterms:created>
  <dcterms:modified xsi:type="dcterms:W3CDTF">2026-10-10T03:00:19Z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