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solutions-s.a.-de-c.v."/>
    <w:p>
      <w:pPr>
        <w:pStyle w:val="Heading1"/>
      </w:pPr>
      <w:r>
        <w:t xml:space="preserve">AeroTech Solutions S.A. de C.V.</w:t>
      </w:r>
    </w:p>
    <w:p>
      <w:pPr>
        <w:pStyle w:val="FirstParagraph"/>
      </w:pPr>
      <w:r>
        <w:rPr>
          <w:bCs/>
          <w:b/>
        </w:rPr>
        <w:t xml:space="preserve">Specialized Aerospace Engineering Services</w:t>
      </w:r>
    </w:p>
    <w:p>
      <w:pPr>
        <w:pStyle w:val="BodyText"/>
      </w:pPr>
      <w:r>
        <w:t xml:space="preserve">Av. Insurgentes Sur 1602, Piso 12</w:t>
      </w:r>
    </w:p>
    <w:p>
      <w:pPr>
        <w:pStyle w:val="BodyText"/>
      </w:pPr>
      <w:r>
        <w:t xml:space="preserve">Col. Actipan, Del. Benito Juárez</w:t>
      </w:r>
    </w:p>
    <w:p>
      <w:pPr>
        <w:pStyle w:val="BodyText"/>
      </w:pPr>
      <w:r>
        <w:rPr>
          <w:bCs/>
          <w:b/>
        </w:rPr>
        <w:t xml:space="preserve">Mexico City, Mexico</w:t>
      </w:r>
      <w:r>
        <w:t xml:space="preserve">, CP 03230</w:t>
      </w:r>
    </w:p>
    <w:p>
      <w:pPr>
        <w:pStyle w:val="BodyText"/>
      </w:pPr>
      <w:r>
        <w:t xml:space="preserve">RFC: AST-850912-XY9</w:t>
      </w:r>
    </w:p>
    <w:p>
      <w:pPr>
        <w:pStyle w:val="BodyText"/>
      </w:pPr>
      <w:r>
        <w:t xml:space="preserve">Phone: +52 (55) 1234-5678</w:t>
      </w:r>
    </w:p>
    <w:p>
      <w:pPr>
        <w:pStyle w:val="BodyText"/>
      </w:pPr>
      <w:r>
        <w:t xml:space="preserve">Email: billing@aerotech-solutions.mx</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Currency:</w:t>
            </w:r>
          </w:p>
        </w:tc>
        <w:tc>
          <w:tcPr/>
          <w:p>
            <w:pPr>
              <w:pStyle w:val="Compact"/>
              <w:jc w:val="left"/>
            </w:pPr>
            <w:r>
              <w:t xml:space="preserve">MXN (Mexican Peso)</w:t>
            </w:r>
          </w:p>
        </w:tc>
      </w:tr>
    </w:tbl>
    <w:bookmarkEnd w:id="21"/>
    <w:p>
      <w:pPr>
        <w:pStyle w:val="BodyText"/>
      </w:pPr>
      <w:r>
        <w:t xml:space="preserve">Bill To</w:t>
      </w:r>
    </w:p>
    <w:p>
      <w:pPr>
        <w:pStyle w:val="BodyText"/>
      </w:pPr>
      <w:r>
        <w:rPr>
          <w:bCs/>
          <w:b/>
        </w:rPr>
        <w:t xml:space="preserve">AeroSpace Dynamics Mexico S.A. de C.V.</w:t>
      </w:r>
    </w:p>
    <w:p>
      <w:pPr>
        <w:pStyle w:val="BodyText"/>
      </w:pPr>
      <w:r>
        <w:t xml:space="preserve">Attn: Procurement Department</w:t>
      </w:r>
    </w:p>
    <w:p>
      <w:pPr>
        <w:pStyle w:val="BodyText"/>
      </w:pPr>
      <w:r>
        <w:t xml:space="preserve">Parque Industrial Vallejo, Calle 12 No. 45</w:t>
      </w:r>
    </w:p>
    <w:p>
      <w:pPr>
        <w:pStyle w:val="BodyText"/>
      </w:pPr>
      <w:r>
        <w:t xml:space="preserve">Col. Vallejo, Del. Iztacalco</w:t>
      </w:r>
    </w:p>
    <w:p>
      <w:pPr>
        <w:pStyle w:val="BodyText"/>
      </w:pPr>
      <w:r>
        <w:rPr>
          <w:bCs/>
          <w:b/>
        </w:rPr>
        <w:t xml:space="preserve">Mexico City, Mexico</w:t>
      </w:r>
      <w:r>
        <w:t xml:space="preserve">, CP 09850</w:t>
      </w:r>
    </w:p>
    <w:p>
      <w:pPr>
        <w:pStyle w:val="BodyText"/>
      </w:pPr>
      <w:r>
        <w:t xml:space="preserve">RFC: ADM-990520-AB1</w:t>
      </w:r>
    </w:p>
    <w:p>
      <w:pPr>
        <w:pStyle w:val="BodyText"/>
      </w:pPr>
      <w:r>
        <w:t xml:space="preserve">Description of Services</w:t>
      </w:r>
    </w:p>
    <w:p>
      <w:pPr>
        <w:pStyle w:val="BodyText"/>
      </w:pPr>
      <w:r>
        <w:t xml:space="preserve">The following</w:t>
      </w:r>
      <w:r>
        <w:t xml:space="preserve"> </w:t>
      </w:r>
      <w:r>
        <w:rPr>
          <w:bCs/>
          <w:b/>
        </w:rPr>
        <w:t xml:space="preserve">Invoice</w:t>
      </w:r>
      <w:r>
        <w:t xml:space="preserve"> </w:t>
      </w:r>
      <w:r>
        <w:t xml:space="preserve">details professional services rendered by a certified</w:t>
      </w:r>
      <w:r>
        <w:t xml:space="preserve"> </w:t>
      </w:r>
      <w:r>
        <w:rPr>
          <w:bCs/>
          <w:b/>
        </w:rPr>
        <w:t xml:space="preserve">Aerospace Engineer</w:t>
      </w:r>
      <w:r>
        <w:t xml:space="preserve"> </w:t>
      </w:r>
      <w:r>
        <w:t xml:space="preserve">specializing in aerodynamic analysis, structural integrity assessment, and propulsion system optimization. These services were conducted in accordance with international aviation standards and local regulations applicable in</w:t>
      </w:r>
      <w:r>
        <w:t xml:space="preserve"> </w:t>
      </w:r>
      <w:r>
        <w:rPr>
          <w:bCs/>
          <w:b/>
        </w:rPr>
        <w:t xml:space="preserve">Mexico City, Mexico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Unit Rate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Aerodynamic CFD Analysis:</w:t>
            </w:r>
            <w:r>
              <w:t xml:space="preserve"> </w:t>
            </w:r>
            <w:r>
              <w:t xml:space="preserve">Computational Fluid Dynamics simulation for next-generation UAV wing design. Performed by Senior Aerospace Engineer using ANSYS Fluent. Includes turbulence modeling and drag reduction optimization.</w:t>
            </w:r>
          </w:p>
        </w:tc>
        <w:tc>
          <w:tcPr/>
          <w:p>
            <w:pPr>
              <w:pStyle w:val="Compact"/>
              <w:jc w:val="left"/>
            </w:pPr>
            <w:r>
              <w:t xml:space="preserve">40 hrs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Structural FEA Assessment:</w:t>
            </w:r>
            <w:r>
              <w:t xml:space="preserve"> </w:t>
            </w:r>
            <w:r>
              <w:t xml:space="preserve">Finite Element Analysis of composite fuselage components under extreme load conditions. Verification against FAA and DGAC (Dirección General de Aeronáutica Civil) standards.</w:t>
            </w:r>
          </w:p>
        </w:tc>
        <w:tc>
          <w:tcPr/>
          <w:p>
            <w:pPr>
              <w:pStyle w:val="Compact"/>
              <w:jc w:val="left"/>
            </w:pPr>
            <w:r>
              <w:t xml:space="preserve">35 hrs</w:t>
            </w:r>
          </w:p>
        </w:tc>
        <w:tc>
          <w:tcPr/>
          <w:p>
            <w:pPr>
              <w:pStyle w:val="Compact"/>
              <w:jc w:val="left"/>
            </w:pPr>
            <w:r>
              <w:t xml:space="preserve">$2,500.00</w:t>
            </w:r>
          </w:p>
        </w:tc>
        <w:tc>
          <w:tcPr/>
          <w:p>
            <w:pPr>
              <w:pStyle w:val="Compact"/>
              <w:jc w:val="left"/>
            </w:pPr>
            <w:r>
              <w:t xml:space="preserve">$87,500.00</w:t>
            </w:r>
          </w:p>
        </w:tc>
      </w:tr>
      <w:tr>
        <w:tc>
          <w:tcPr/>
          <w:p>
            <w:pPr>
              <w:pStyle w:val="Compact"/>
              <w:jc w:val="left"/>
            </w:pPr>
            <w:r>
              <w:t xml:space="preserve">3</w:t>
            </w:r>
          </w:p>
        </w:tc>
        <w:tc>
          <w:tcPr/>
          <w:p>
            <w:pPr>
              <w:pStyle w:val="Compact"/>
              <w:jc w:val="left"/>
            </w:pPr>
            <w:r>
              <w:rPr>
                <w:bCs/>
                <w:b/>
              </w:rPr>
              <w:t xml:space="preserve">Propulsion System Consultation:</w:t>
            </w:r>
            <w:r>
              <w:t xml:space="preserve"> </w:t>
            </w:r>
            <w:r>
              <w:t xml:space="preserve">Technical review of hybrid-electric propulsion integration for urban air mobility vehicle. Includes thermal management analysis and efficiency calculations.</w:t>
            </w:r>
          </w:p>
        </w:tc>
        <w:tc>
          <w:tcPr/>
          <w:p>
            <w:pPr>
              <w:pStyle w:val="Compact"/>
              <w:jc w:val="left"/>
            </w:pPr>
            <w:r>
              <w:t xml:space="preserve">20 hrs</w:t>
            </w:r>
          </w:p>
        </w:tc>
        <w:tc>
          <w:tcPr/>
          <w:p>
            <w:pPr>
              <w:pStyle w:val="Compact"/>
              <w:jc w:val="left"/>
            </w:pPr>
            <w:r>
              <w:t xml:space="preserve">$2,800.00</w:t>
            </w:r>
          </w:p>
        </w:tc>
        <w:tc>
          <w:tcPr/>
          <w:p>
            <w:pPr>
              <w:pStyle w:val="Compact"/>
              <w:jc w:val="left"/>
            </w:pPr>
            <w:r>
              <w:t xml:space="preserve">$56,000.00</w:t>
            </w:r>
          </w:p>
        </w:tc>
      </w:tr>
      <w:tr>
        <w:tc>
          <w:tcPr/>
          <w:p>
            <w:pPr>
              <w:pStyle w:val="Compact"/>
              <w:jc w:val="left"/>
            </w:pPr>
            <w:r>
              <w:t xml:space="preserve">4</w:t>
            </w:r>
          </w:p>
        </w:tc>
        <w:tc>
          <w:tcPr/>
          <w:p>
            <w:pPr>
              <w:pStyle w:val="Compact"/>
              <w:jc w:val="left"/>
            </w:pPr>
            <w:r>
              <w:rPr>
                <w:bCs/>
                <w:b/>
              </w:rPr>
              <w:t xml:space="preserve">Regulatory Compliance Documentation:</w:t>
            </w:r>
            <w:r>
              <w:t xml:space="preserve"> </w:t>
            </w:r>
            <w:r>
              <w:t xml:space="preserve">Preparation of technical documentation required for certification processes in Mexico. Includes safety analysis reports and engineering justifications compliant with local aviation authorities in Mexico City.</w:t>
            </w:r>
          </w:p>
        </w:tc>
        <w:tc>
          <w:tcPr/>
          <w:p>
            <w:pPr>
              <w:pStyle w:val="Compact"/>
              <w:jc w:val="left"/>
            </w:pPr>
            <w:r>
              <w:t xml:space="preserve">15 hrs</w:t>
            </w:r>
          </w:p>
        </w:tc>
        <w:tc>
          <w:tcPr/>
          <w:p>
            <w:pPr>
              <w:pStyle w:val="Compact"/>
              <w:jc w:val="left"/>
            </w:pPr>
            <w:r>
              <w:t xml:space="preserve">$2,200.00</w:t>
            </w:r>
          </w:p>
        </w:tc>
        <w:tc>
          <w:tcPr/>
          <w:p>
            <w:pPr>
              <w:pStyle w:val="Compact"/>
              <w:jc w:val="left"/>
            </w:pPr>
            <w:r>
              <w:t xml:space="preserve">$33,000.00</w:t>
            </w:r>
          </w:p>
        </w:tc>
      </w:tr>
      <w:tr>
        <w:tc>
          <w:tcPr/>
          <w:p>
            <w:pPr>
              <w:pStyle w:val="Compact"/>
              <w:jc w:val="left"/>
            </w:pPr>
            <w:r>
              <w:t xml:space="preserve">5</w:t>
            </w:r>
          </w:p>
        </w:tc>
        <w:tc>
          <w:tcPr/>
          <w:p>
            <w:pPr>
              <w:pStyle w:val="Compact"/>
              <w:jc w:val="left"/>
            </w:pPr>
            <w:r>
              <w:rPr>
                <w:bCs/>
                <w:b/>
              </w:rPr>
              <w:t xml:space="preserve">On-Site Engineering Support:</w:t>
            </w:r>
            <w:r>
              <w:t xml:space="preserve"> </w:t>
            </w:r>
            <w:r>
              <w:t xml:space="preserve">Physical presence at client facility in Mexico City for prototype testing supervision, data collection, and real-time engineering adjustments. Includes travel within Mexico City metropolitan area.</w:t>
            </w:r>
          </w:p>
        </w:tc>
        <w:tc>
          <w:tcPr/>
          <w:p>
            <w:pPr>
              <w:pStyle w:val="Compact"/>
              <w:jc w:val="left"/>
            </w:pPr>
            <w:r>
              <w:t xml:space="preserve">10 hrs</w:t>
            </w:r>
          </w:p>
        </w:tc>
        <w:tc>
          <w:tcPr/>
          <w:p>
            <w:pPr>
              <w:pStyle w:val="Compact"/>
              <w:jc w:val="left"/>
            </w:pPr>
            <w:r>
              <w:t xml:space="preserve">$3,000.00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$306,500.00</w:t>
            </w:r>
          </w:p>
        </w:tc>
      </w:tr>
      <w:tr>
        <w:tc>
          <w:tcPr/>
          <w:p>
            <w:pPr>
              <w:pStyle w:val="Compact"/>
              <w:jc w:val="left"/>
            </w:pPr>
            <w:r>
              <w:t xml:space="preserve">IVA (16% VAT):</w:t>
            </w:r>
          </w:p>
        </w:tc>
        <w:tc>
          <w:tcPr/>
          <w:p>
            <w:pPr>
              <w:pStyle w:val="Compact"/>
              <w:jc w:val="right"/>
            </w:pPr>
            <w:r>
              <w:t xml:space="preserve">$49,040.00</w:t>
            </w:r>
          </w:p>
        </w:tc>
      </w:tr>
      <w:tr>
        <w:tc>
          <w:tcPr/>
          <w:p>
            <w:pPr>
              <w:pStyle w:val="Compact"/>
              <w:jc w:val="left"/>
            </w:pPr>
            <w:r>
              <w:rPr>
                <w:bCs/>
                <w:b/>
              </w:rPr>
              <w:t xml:space="preserve">TOTAL DUE:</w:t>
            </w:r>
          </w:p>
        </w:tc>
        <w:tc>
          <w:tcPr/>
          <w:p>
            <w:pPr>
              <w:pStyle w:val="Compact"/>
              <w:jc w:val="right"/>
            </w:pPr>
            <w:r>
              <w:rPr>
                <w:bCs/>
                <w:b/>
              </w:rPr>
              <w:t xml:space="preserve">$355,540.00</w:t>
            </w:r>
          </w:p>
        </w:tc>
      </w:tr>
    </w:tbl>
    <w:bookmarkStart w:id="22" w:name="payment-instructions"/>
    <w:p>
      <w:pPr>
        <w:pStyle w:val="Heading3"/>
      </w:pPr>
      <w:r>
        <w:t xml:space="preserve">Payment Instructions</w:t>
      </w:r>
    </w:p>
    <w:p>
      <w:pPr>
        <w:pStyle w:val="FirstParagraph"/>
      </w:pPr>
      <w:r>
        <w:t xml:space="preserve">Please remit payment within 30 days of the invoice date. Late payments may incur a penalty of 2% per month.</w:t>
      </w:r>
    </w:p>
    <w:p>
      <w:pPr>
        <w:pStyle w:val="BodyText"/>
      </w:pPr>
      <w:r>
        <w:rPr>
          <w:bCs/>
          <w:b/>
        </w:rPr>
        <w:t xml:space="preserve">Bank Transfer Details:</w:t>
      </w:r>
    </w:p>
    <w:p>
      <w:pPr>
        <w:pStyle w:val="BodyText"/>
      </w:pPr>
      <w:r>
        <w:t xml:space="preserve">Bank: BBVA México</w:t>
      </w:r>
    </w:p>
    <w:p>
      <w:pPr>
        <w:pStyle w:val="BodyText"/>
      </w:pPr>
      <w:r>
        <w:t xml:space="preserve">Account Name: AeroTech Solutions S.A. de C.V.</w:t>
      </w:r>
    </w:p>
    <w:p>
      <w:pPr>
        <w:pStyle w:val="BodyText"/>
      </w:pPr>
      <w:r>
        <w:t xml:space="preserve">CLABE: 012180001234567890</w:t>
      </w:r>
    </w:p>
    <w:p>
      <w:pPr>
        <w:pStyle w:val="BodyText"/>
      </w:pPr>
      <w:r>
        <w:t xml:space="preserve">Reference: INV-2023-0892</w:t>
      </w:r>
    </w:p>
    <w:p>
      <w:pPr>
        <w:pStyle w:val="BodyText"/>
      </w:pPr>
      <w:r>
        <w:t xml:space="preserve">Please include this invoice number as the payment reference to ensure proper allocation.</w:t>
      </w:r>
    </w:p>
    <w:bookmarkEnd w:id="22"/>
    <w:bookmarkStart w:id="23" w:name="important-notes"/>
    <w:p>
      <w:pPr>
        <w:pStyle w:val="Heading3"/>
      </w:pPr>
      <w:r>
        <w:t xml:space="preserve">Important Notes</w:t>
      </w:r>
    </w:p>
    <w:p>
      <w:pPr>
        <w:pStyle w:val="FirstParagraph"/>
      </w:pPr>
      <w:r>
        <w:t xml:space="preserve">This</w:t>
      </w:r>
      <w:r>
        <w:t xml:space="preserve"> </w:t>
      </w:r>
      <w:r>
        <w:rPr>
          <w:bCs/>
          <w:b/>
        </w:rPr>
        <w:t xml:space="preserve">Invoice</w:t>
      </w:r>
      <w:r>
        <w:t xml:space="preserve"> </w:t>
      </w:r>
      <w:r>
        <w:t xml:space="preserve">represents professional services provided by a qualified</w:t>
      </w:r>
      <w:r>
        <w:t xml:space="preserve"> </w:t>
      </w:r>
      <w:r>
        <w:rPr>
          <w:bCs/>
          <w:b/>
        </w:rPr>
        <w:t xml:space="preserve">Aerospace Engineer</w:t>
      </w:r>
      <w:r>
        <w:t xml:space="preserve"> </w:t>
      </w:r>
      <w:r>
        <w:t xml:space="preserve">operating under Mexican commercial law. All engineering analyses and recommendations contained in the deliverables associated with this invoice are based on current industry standards and best practices in aerospace engineering.</w:t>
      </w:r>
    </w:p>
    <w:p>
      <w:pPr>
        <w:pStyle w:val="BodyText"/>
      </w:pPr>
      <w:r>
        <w:t xml:space="preserve">The services described herein were performed with consideration for the specific regulatory environment of</w:t>
      </w:r>
      <w:r>
        <w:t xml:space="preserve"> </w:t>
      </w:r>
      <w:r>
        <w:rPr>
          <w:bCs/>
          <w:b/>
        </w:rPr>
        <w:t xml:space="preserve">Mexico City, Mexico</w:t>
      </w:r>
      <w:r>
        <w:t xml:space="preserve">, including compliance with the Dirección General de Aeronáutica Civil (DGAC) requirements where applicable. The Aerospace Engineer responsible for these services holds valid credentials recognized by Mexican professional engineering bodies.</w:t>
      </w:r>
    </w:p>
    <w:p>
      <w:pPr>
        <w:pStyle w:val="BodyText"/>
      </w:pPr>
      <w:r>
        <w:t xml:space="preserve">This document serves as an official fiscal invoice (Factura) for tax purposes in Mexico. The RFC numbers provided are valid and registered with the Servicio de Administración Tributaria (SAT). Please retain this invoice for your accounting records and tax documentation.</w:t>
      </w:r>
    </w:p>
    <w:p>
      <w:pPr>
        <w:pStyle w:val="BodyText"/>
      </w:pPr>
      <w:r>
        <w:t xml:space="preserve">All intellectual property rights related to the engineering designs, analyses, and reports generated under this engagement remain with AeroTech Solutions S.A. de C.V. unless otherwise specified in a separate licensing agreement. The client receives a non-exclusive license to use the deliverables for their intended aerospace applications.</w:t>
      </w:r>
    </w:p>
    <w:p>
      <w:pPr>
        <w:pStyle w:val="BodyText"/>
      </w:pPr>
      <w:r>
        <w:t xml:space="preserve">For any questions regarding this invoice, please contact our billing department at billing@aerotech-solutions.mx or call +52 (55) 1234-5678 during business hours (Monday to Friday, 9:00 AM to 6:00 PM CST).</w:t>
      </w:r>
    </w:p>
    <w:bookmarkEnd w:id="23"/>
    <w:p>
      <w:pPr>
        <w:pStyle w:val="BodyText"/>
      </w:pPr>
      <w:r>
        <w:rPr>
          <w:bCs/>
          <w:b/>
        </w:rPr>
        <w:t xml:space="preserve">Authorized Signature</w:t>
      </w:r>
    </w:p>
    <w:p>
      <w:pPr>
        <w:pStyle w:val="BodyText"/>
      </w:pPr>
      <w:r>
        <w:t xml:space="preserve">Dr. Carlos Mendoza Rivera</w:t>
      </w:r>
    </w:p>
    <w:p>
      <w:pPr>
        <w:pStyle w:val="BodyText"/>
      </w:pPr>
      <w:r>
        <w:t xml:space="preserve">Lead Aerospace Engineer</w:t>
      </w:r>
    </w:p>
    <w:p>
      <w:pPr>
        <w:pStyle w:val="BodyText"/>
      </w:pPr>
      <w:r>
        <w:t xml:space="preserve">Cédula Profesional: 7654321</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2026-10-10T04:08:39Z</dcterms:created>
  <dcterms:modified xsi:type="dcterms:W3CDTF">2026-10-10T04:08:39Z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