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qatar-aerospace-engineering-solutions"/>
    <w:p>
      <w:pPr>
        <w:pStyle w:val="Heading1"/>
      </w:pPr>
      <w:r>
        <w:t xml:space="preserve">QATAR AEROSPACE ENGINEERING SOLUTIONS</w:t>
      </w:r>
    </w:p>
    <w:p>
      <w:pPr>
        <w:pStyle w:val="FirstParagraph"/>
      </w:pPr>
      <w:r>
        <w:t xml:space="preserve">P.O. Box 54321, West Bay Business District</w:t>
      </w:r>
    </w:p>
    <w:p>
      <w:pPr>
        <w:pStyle w:val="BodyText"/>
      </w:pPr>
      <w:r>
        <w:t xml:space="preserve">Doha, Qatar</w:t>
      </w:r>
    </w:p>
    <w:p>
      <w:pPr>
        <w:pStyle w:val="BodyText"/>
      </w:pPr>
      <w:r>
        <w:t xml:space="preserve">Phone: +974 4455 6677</w:t>
      </w:r>
    </w:p>
    <w:p>
      <w:pPr>
        <w:pStyle w:val="BodyText"/>
      </w:pPr>
      <w:r>
        <w:t xml:space="preserve">Email: billing@qaes-doha.com</w:t>
      </w:r>
    </w:p>
    <w:p>
      <w:pPr>
        <w:pStyle w:val="BodyText"/>
      </w:pPr>
      <w:r>
        <w:t xml:space="preserve">VAT Registration: QR-123456789</w:t>
      </w:r>
    </w:p>
    <w:bookmarkEnd w:id="20"/>
    <w:bookmarkStart w:id="21" w:name="invoice"/>
    <w:p>
      <w:pPr>
        <w:pStyle w:val="Heading2"/>
      </w:pPr>
      <w:r>
        <w:t xml:space="preserve">INVOICE</w:t>
      </w:r>
    </w:p>
    <w:p>
      <w:pPr>
        <w:pStyle w:val="FirstParagraph"/>
      </w:pPr>
      <w:r>
        <w:t xml:space="preserve">Professional Aerospace Engineering Services</w:t>
      </w:r>
    </w:p>
    <w:bookmarkEnd w:id="21"/>
    <w:bookmarkStart w:id="22" w:name="bill-to"/>
    <w:p>
      <w:pPr>
        <w:pStyle w:val="Heading3"/>
      </w:pPr>
      <w:r>
        <w:t xml:space="preserve">Bill To:</w:t>
      </w:r>
    </w:p>
    <w:p>
      <w:pPr>
        <w:pStyle w:val="FirstParagraph"/>
      </w:pPr>
      <w:r>
        <w:rPr>
          <w:bCs/>
          <w:b/>
        </w:rPr>
        <w:t xml:space="preserve">National Aviation Authority Qatar</w:t>
      </w:r>
    </w:p>
    <w:p>
      <w:pPr>
        <w:pStyle w:val="BodyText"/>
      </w:pPr>
      <w:r>
        <w:t xml:space="preserve">Attn: Procurement Department</w:t>
      </w:r>
    </w:p>
    <w:p>
      <w:pPr>
        <w:pStyle w:val="BodyText"/>
      </w:pPr>
      <w:r>
        <w:t xml:space="preserve">Building 45, Airport Road</w:t>
      </w:r>
    </w:p>
    <w:p>
      <w:pPr>
        <w:pStyle w:val="BodyText"/>
      </w:pPr>
      <w:r>
        <w:t xml:space="preserve">Doha, Qatar</w:t>
      </w:r>
    </w:p>
    <w:p>
      <w:pPr>
        <w:pStyle w:val="BodyText"/>
      </w:pPr>
      <w:r>
        <w:t xml:space="preserve">Contact: Mr. Ahmed Al-Thani</w:t>
      </w:r>
    </w:p>
    <w:p>
      <w:pPr>
        <w:pStyle w:val="BodyText"/>
      </w:pPr>
      <w:r>
        <w:t xml:space="preserve">Email: procurement@naaq.gov.qa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QAE-INV-2024-0892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HADES-2024-QA-001</w:t>
            </w:r>
          </w:p>
        </w:tc>
      </w:tr>
      <w:tr>
        <w:tc>
          <w:tcPr/>
          <w:p>
            <w:pPr>
              <w:pStyle w:val="Compact"/>
              <w:jc w:val="left"/>
            </w:pPr>
            <w:r>
              <w:t xml:space="preserve">Currency:</w:t>
            </w:r>
          </w:p>
        </w:tc>
        <w:tc>
          <w:tcPr/>
          <w:p>
            <w:pPr>
              <w:pStyle w:val="Compact"/>
              <w:jc w:val="left"/>
            </w:pPr>
            <w:r>
              <w:t xml:space="preserve">QAR (Qatari Riyal)</w:t>
            </w:r>
          </w:p>
        </w:tc>
      </w:tr>
    </w:tbl>
    <w:p>
      <w:pPr>
        <w:pStyle w:val="BodyText"/>
      </w:pPr>
      <w:r>
        <w:rPr>
          <w:bCs/>
          <w:b/>
        </w:rPr>
        <w:t xml:space="preserve">Service Description:</w:t>
      </w:r>
      <w:r>
        <w:t xml:space="preserve"> </w:t>
      </w:r>
      <w:r>
        <w:t xml:space="preserve">This Invoice pertains to specialized Aerospace Engineer consulting services rendered in Qatar Doha for the comprehensive aerodynamic analysis, structural integrity assessment, and propulsion system optimization of next-generation unmanned aerial vehicles (UAVs) designed for desert environment operations. All engineering calculations, simulations, and technical reports comply with international aerospace standards (FAA/EASA) and local Qatar Civil Aviation Authority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Hours/Units</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Aerodynamic Design &amp; CFD Analysis</w:t>
            </w:r>
            <w:r>
              <w:br/>
            </w:r>
            <w:r>
              <w:t xml:space="preserve">Computational Fluid Dynamics simulations for UAV wing configurations optimized for high-temperature, low-density air conditions typical of Qatar Doha climate. Includes drag reduction strategies and lift-to-drag ratio optimization.</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2,700.00</w:t>
            </w:r>
          </w:p>
        </w:tc>
      </w:tr>
      <w:tr>
        <w:tc>
          <w:tcPr/>
          <w:p>
            <w:pPr>
              <w:pStyle w:val="Compact"/>
              <w:jc w:val="left"/>
            </w:pPr>
            <w:r>
              <w:t xml:space="preserve">2</w:t>
            </w:r>
          </w:p>
        </w:tc>
        <w:tc>
          <w:tcPr/>
          <w:p>
            <w:pPr>
              <w:pStyle w:val="Compact"/>
              <w:jc w:val="left"/>
            </w:pPr>
            <w:r>
              <w:rPr>
                <w:bCs/>
                <w:b/>
              </w:rPr>
              <w:t xml:space="preserve">Structural Integrity &amp; Finite Element Analysis</w:t>
            </w:r>
            <w:r>
              <w:br/>
            </w:r>
            <w:r>
              <w:t xml:space="preserve">FEA modeling to assess structural loads, fatigue life, and material stress under extreme thermal cycling. Evaluation of composite materials suitable for aerospace applications in arid environments.</w:t>
            </w:r>
          </w:p>
        </w:tc>
        <w:tc>
          <w:tcPr/>
          <w:p>
            <w:pPr>
              <w:pStyle w:val="Compact"/>
              <w:jc w:val="left"/>
            </w:pPr>
            <w:r>
              <w:t xml:space="preserve">80 hrs</w:t>
            </w:r>
          </w:p>
        </w:tc>
        <w:tc>
          <w:tcPr/>
          <w:p>
            <w:pPr>
              <w:pStyle w:val="Compact"/>
              <w:jc w:val="left"/>
            </w:pPr>
            <w:r>
              <w:t xml:space="preserve">450.00</w:t>
            </w:r>
          </w:p>
        </w:tc>
        <w:tc>
          <w:tcPr/>
          <w:p>
            <w:pPr>
              <w:pStyle w:val="Compact"/>
              <w:jc w:val="left"/>
            </w:pPr>
            <w:r>
              <w:t xml:space="preserve">36,000.00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Propulsion System Engineering</w:t>
            </w:r>
            <w:r>
              <w:br/>
            </w:r>
            <w:r>
              <w:t xml:space="preserve">Design and performance analysis of hybrid-electric propulsion systems. Thermal management solutions for engine components operating in Qatar's high ambient temperatures.</w:t>
            </w:r>
          </w:p>
        </w:tc>
        <w:tc>
          <w:tcPr/>
          <w:p>
            <w:pPr>
              <w:pStyle w:val="Compact"/>
              <w:jc w:val="left"/>
            </w:pPr>
            <w:r>
              <w:t xml:space="preserve">60 hrs</w:t>
            </w:r>
          </w:p>
        </w:tc>
        <w:tc>
          <w:tcPr/>
          <w:p>
            <w:pPr>
              <w:pStyle w:val="Compact"/>
              <w:jc w:val="left"/>
            </w:pPr>
            <w:r>
              <w:t xml:space="preserve">500.00</w:t>
            </w:r>
          </w:p>
        </w:tc>
        <w:tc>
          <w:tcPr/>
          <w:p>
            <w:pPr>
              <w:pStyle w:val="Compact"/>
              <w:jc w:val="left"/>
            </w:pPr>
            <w:r>
              <w:t xml:space="preserve">30,000.00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Flight Dynamics &amp; Control Systems</w:t>
            </w:r>
            <w:r>
              <w:br/>
            </w:r>
            <w:r>
              <w:t xml:space="preserve">Development of flight control algorithms and stability analysis. Simulation of flight envelopes and handling qualities for autonomous operations in urban and desert terrains of Doha.</w:t>
            </w:r>
          </w:p>
        </w:tc>
        <w:tc>
          <w:tcPr/>
          <w:p>
            <w:pPr>
              <w:pStyle w:val="Compact"/>
              <w:jc w:val="left"/>
            </w:pPr>
            <w:r>
              <w:t xml:space="preserve">70 hrs</w:t>
            </w:r>
          </w:p>
        </w:tc>
        <w:tc>
          <w:tcPr/>
          <w:p>
            <w:pPr>
              <w:pStyle w:val="Compact"/>
              <w:jc w:val="left"/>
            </w:pPr>
            <w:r>
              <w:t xml:space="preserve">475.00</w:t>
            </w:r>
          </w:p>
        </w:tc>
        <w:tc>
          <w:tcPr/>
          <w:p>
            <w:pPr>
              <w:pStyle w:val="Compact"/>
              <w:jc w:val="left"/>
            </w:pPr>
            <w:r>
              <w:t xml:space="preserve">33,250.00</w:t>
            </w:r>
          </w:p>
        </w:tc>
        <w:tc>
          <w:tcPr/>
          <w:p>
            <w:pPr>
              <w:pStyle w:val="Compact"/>
              <w:jc w:val="left"/>
            </w:pPr>
            <w:r>
              <w:t xml:space="preserve">1,662.50</w:t>
            </w:r>
          </w:p>
        </w:tc>
      </w:tr>
      <w:tr>
        <w:tc>
          <w:tcPr/>
          <w:p>
            <w:pPr>
              <w:pStyle w:val="Compact"/>
              <w:jc w:val="left"/>
            </w:pPr>
            <w:r>
              <w:t xml:space="preserve">5</w:t>
            </w:r>
          </w:p>
        </w:tc>
        <w:tc>
          <w:tcPr/>
          <w:p>
            <w:pPr>
              <w:pStyle w:val="Compact"/>
              <w:jc w:val="left"/>
            </w:pPr>
            <w:r>
              <w:rPr>
                <w:bCs/>
                <w:b/>
              </w:rPr>
              <w:t xml:space="preserve">Regulatory Compliance &amp; Certification Support</w:t>
            </w:r>
            <w:r>
              <w:br/>
            </w:r>
            <w:r>
              <w:t xml:space="preserve">Preparation of technical documentation for Qatar Civil Aviation Authority approval. Ensuring all aerospace engineering designs meet local and international safety standards.</w:t>
            </w:r>
          </w:p>
        </w:tc>
        <w:tc>
          <w:tcPr/>
          <w:p>
            <w:pPr>
              <w:pStyle w:val="Compact"/>
              <w:jc w:val="left"/>
            </w:pPr>
            <w:r>
              <w:t xml:space="preserve">40 hrs</w:t>
            </w:r>
          </w:p>
        </w:tc>
        <w:tc>
          <w:tcPr/>
          <w:p>
            <w:pPr>
              <w:pStyle w:val="Compact"/>
              <w:jc w:val="left"/>
            </w:pPr>
            <w:r>
              <w:t xml:space="preserve">400.00</w:t>
            </w:r>
          </w:p>
        </w:tc>
        <w:tc>
          <w:tcPr/>
          <w:p>
            <w:pPr>
              <w:pStyle w:val="Compact"/>
              <w:jc w:val="left"/>
            </w:pPr>
            <w:r>
              <w:t xml:space="preserve">16,000.00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On-Site Engineering Consultation in Doha</w:t>
            </w:r>
            <w:r>
              <w:br/>
            </w:r>
            <w:r>
              <w:t xml:space="preserve">Face-to-face technical meetings, design reviews, and progress reporting at client facilities in Qatar Doha. Includes travel and accommodation expenses for the Aerospace Engineer team.</w:t>
            </w:r>
          </w:p>
        </w:tc>
        <w:tc>
          <w:tcPr/>
          <w:p>
            <w:pPr>
              <w:pStyle w:val="Compact"/>
              <w:jc w:val="left"/>
            </w:pPr>
            <w:r>
              <w:t xml:space="preserve">15 days</w:t>
            </w:r>
          </w:p>
        </w:tc>
        <w:tc>
          <w:tcPr/>
          <w:p>
            <w:pPr>
              <w:pStyle w:val="Compact"/>
              <w:jc w:val="left"/>
            </w:pPr>
            <w:r>
              <w:t xml:space="preserve">2,500.00</w:t>
            </w:r>
          </w:p>
        </w:tc>
        <w:tc>
          <w:tcPr/>
          <w:p>
            <w:pPr>
              <w:pStyle w:val="Compact"/>
              <w:jc w:val="left"/>
            </w:pPr>
            <w:r>
              <w:t xml:space="preserve">37,500.00</w:t>
            </w:r>
          </w:p>
        </w:tc>
        <w:tc>
          <w:tcPr/>
          <w:p>
            <w:pPr>
              <w:pStyle w:val="Compact"/>
              <w:jc w:val="left"/>
            </w:pPr>
            <w:r>
              <w:t xml:space="preserve">1,875.00</w:t>
            </w:r>
          </w:p>
        </w:tc>
      </w:tr>
      <w:tr>
        <w:tc>
          <w:tcPr/>
          <w:p>
            <w:pPr>
              <w:pStyle w:val="Compact"/>
              <w:jc w:val="left"/>
            </w:pPr>
            <w:r>
              <w:t xml:space="preserve">7</w:t>
            </w:r>
          </w:p>
        </w:tc>
        <w:tc>
          <w:tcPr/>
          <w:p>
            <w:pPr>
              <w:pStyle w:val="Compact"/>
              <w:jc w:val="left"/>
            </w:pPr>
            <w:r>
              <w:rPr>
                <w:bCs/>
                <w:b/>
              </w:rPr>
              <w:t xml:space="preserve">Technical Documentation &amp; Final Report</w:t>
            </w:r>
            <w:r>
              <w:br/>
            </w:r>
            <w:r>
              <w:t xml:space="preserve">Comprehensive engineering report detailing all analyses, design decisions, test results, and recommendations. Includes CAD drawings, simulation data, and certification-ready documentation.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218,750.00 QAR</w:t>
            </w:r>
          </w:p>
        </w:tc>
      </w:tr>
      <w:tr>
        <w:tc>
          <w:tcPr/>
          <w:p>
            <w:pPr>
              <w:pStyle w:val="Compact"/>
              <w:jc w:val="left"/>
            </w:pPr>
            <w:r>
              <w:t xml:space="preserve">VAT (5%):</w:t>
            </w:r>
          </w:p>
        </w:tc>
        <w:tc>
          <w:tcPr/>
          <w:p>
            <w:pPr>
              <w:pStyle w:val="Compact"/>
              <w:jc w:val="left"/>
            </w:pPr>
            <w:r>
              <w:t xml:space="preserve">10,937.50 QAR</w:t>
            </w:r>
          </w:p>
        </w:tc>
      </w:tr>
      <w:tr>
        <w:tc>
          <w:tcPr/>
          <w:p>
            <w:pPr>
              <w:pStyle w:val="Compact"/>
              <w:jc w:val="left"/>
            </w:pPr>
            <w:r>
              <w:t xml:space="preserve">Discount:</w:t>
            </w:r>
          </w:p>
        </w:tc>
        <w:tc>
          <w:tcPr/>
          <w:p>
            <w:pPr>
              <w:pStyle w:val="Compact"/>
              <w:jc w:val="left"/>
            </w:pPr>
            <w:r>
              <w:t xml:space="preserve">0.00 QAR</w:t>
            </w:r>
          </w:p>
        </w:tc>
      </w:tr>
      <w:tr>
        <w:tc>
          <w:tcPr/>
          <w:p>
            <w:pPr>
              <w:pStyle w:val="Compact"/>
              <w:jc w:val="left"/>
            </w:pPr>
            <w:r>
              <w:t xml:space="preserve">TOTAL AMOUNT DUE:</w:t>
            </w:r>
          </w:p>
        </w:tc>
        <w:tc>
          <w:tcPr/>
          <w:p>
            <w:pPr>
              <w:pStyle w:val="Compact"/>
              <w:jc w:val="left"/>
            </w:pPr>
            <w:r>
              <w:t xml:space="preserve">229,687.50 QAR</w:t>
            </w:r>
          </w:p>
        </w:tc>
      </w:tr>
    </w:tbl>
    <w:bookmarkStart w:id="23" w:name="payment-instructions"/>
    <w:p>
      <w:pPr>
        <w:pStyle w:val="Heading3"/>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Name:</w:t>
      </w:r>
      <w:r>
        <w:t xml:space="preserve"> </w:t>
      </w:r>
      <w:r>
        <w:t xml:space="preserve">Qatar National Bank (QNB)</w:t>
      </w:r>
    </w:p>
    <w:p>
      <w:pPr>
        <w:pStyle w:val="BodyText"/>
      </w:pPr>
      <w:r>
        <w:rPr>
          <w:bCs/>
          <w:b/>
        </w:rPr>
        <w:t xml:space="preserve">Account Name:</w:t>
      </w:r>
      <w:r>
        <w:t xml:space="preserve"> </w:t>
      </w:r>
      <w:r>
        <w:t xml:space="preserve">Qatar Aerospace Engineering Solutions W.L.L.</w:t>
      </w:r>
    </w:p>
    <w:p>
      <w:pPr>
        <w:pStyle w:val="BodyText"/>
      </w:pPr>
      <w:r>
        <w:rPr>
          <w:bCs/>
          <w:b/>
        </w:rPr>
        <w:t xml:space="preserve">IBAN:</w:t>
      </w:r>
      <w:r>
        <w:t xml:space="preserve"> </w:t>
      </w:r>
      <w:r>
        <w:t xml:space="preserve">QA3000000000000000000000</w:t>
      </w:r>
    </w:p>
    <w:p>
      <w:pPr>
        <w:pStyle w:val="BodyText"/>
      </w:pPr>
      <w:r>
        <w:rPr>
          <w:bCs/>
          <w:b/>
        </w:rPr>
        <w:t xml:space="preserve">SWIFT/BIC:</w:t>
      </w:r>
      <w:r>
        <w:t xml:space="preserve"> </w:t>
      </w:r>
      <w:r>
        <w:t xml:space="preserve">QNBQQA</w:t>
      </w:r>
    </w:p>
    <w:p>
      <w:pPr>
        <w:pStyle w:val="BodyText"/>
      </w:pPr>
      <w:r>
        <w:rPr>
          <w:bCs/>
          <w:b/>
        </w:rPr>
        <w:t xml:space="preserve">Reference:</w:t>
      </w:r>
      <w:r>
        <w:t xml:space="preserve"> </w:t>
      </w:r>
      <w:r>
        <w:t xml:space="preserve">QAE-INV-2024-0892</w:t>
      </w:r>
    </w:p>
    <w:p>
      <w:pPr>
        <w:pStyle w:val="BodyText"/>
      </w:pPr>
      <w:r>
        <w:t xml:space="preserve">All payments must be made in Qatari Riyals (QAR). Please include the Invoice number as payment reference.</w:t>
      </w:r>
    </w:p>
    <w:bookmarkEnd w:id="23"/>
    <w:bookmarkStart w:id="24" w:name="terms-and-conditions"/>
    <w:p>
      <w:pPr>
        <w:pStyle w:val="Heading4"/>
      </w:pPr>
      <w:r>
        <w:t xml:space="preserve">Terms and Conditions</w:t>
      </w:r>
    </w:p>
    <w:p>
      <w:pPr>
        <w:pStyle w:val="FirstParagraph"/>
      </w:pPr>
      <w:r>
        <w:t xml:space="preserve">1. This Invoice is issued in accordance with the commercial laws of the State of Qatar and reflects professional Aerospace Engineer services rendered in Qatar Doha.</w:t>
      </w:r>
    </w:p>
    <w:p>
      <w:pPr>
        <w:pStyle w:val="BodyText"/>
      </w:pPr>
      <w:r>
        <w:t xml:space="preserve">2. Payment is due within 30 days from the date of this Invoice. Late payments will incur a penalty of 2% per month on the outstanding balance.</w:t>
      </w:r>
    </w:p>
    <w:p>
      <w:pPr>
        <w:pStyle w:val="BodyText"/>
      </w:pPr>
      <w:r>
        <w:t xml:space="preserve">3. All intellectual property rights related to the engineering designs, analyses, and reports remain with Qatar Aerospace Engineering Solutions until full payment is received.</w:t>
      </w:r>
    </w:p>
    <w:p>
      <w:pPr>
        <w:pStyle w:val="BodyText"/>
      </w:pPr>
      <w:r>
        <w:t xml:space="preserve">4. The services described herein were performed by certified Aerospace Engineers with expertise in aerodynamics, structural mechanics, propulsion systems, and flight dynamics, specifically tailored to the operational requirements of Qatar's aviation sector.</w:t>
      </w:r>
    </w:p>
    <w:p>
      <w:pPr>
        <w:pStyle w:val="BodyText"/>
      </w:pPr>
      <w:r>
        <w:t xml:space="preserve">5. Any disputes arising from this Invoice shall be subject to the jurisdiction of the courts of Qatar Doha.</w:t>
      </w:r>
    </w:p>
    <w:p>
      <w:pPr>
        <w:pStyle w:val="BodyText"/>
      </w:pPr>
      <w:r>
        <w:t xml:space="preserve">6. This Invoice is valid for tax purposes in Qatar and includes the applicable Value Added Tax (VAT) as per Qatar Tax Authority regulations.</w:t>
      </w:r>
    </w:p>
    <w:p>
      <w:pPr>
        <w:pStyle w:val="BodyText"/>
      </w:pPr>
      <w:r>
        <w:t xml:space="preserve">7. Please notify our billing department within 7 days of receipt if there are any discrepancies or questions regarding this Invoice.</w:t>
      </w:r>
    </w:p>
    <w:bookmarkEnd w:id="24"/>
    <w:p>
      <w:pPr>
        <w:pStyle w:val="BodyText"/>
      </w:pPr>
      <w:r>
        <w:t xml:space="preserve">Thank you for your business. We appreciate your trust in our Aerospace Engineering expertise.</w:t>
      </w:r>
    </w:p>
    <w:p>
      <w:pPr>
        <w:pStyle w:val="BodyText"/>
      </w:pPr>
      <w:r>
        <w:t xml:space="preserve">Qatar Aerospace Engineering Solutions W.L.L. | Doha, Qatar | www.qaes-doha.com</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2026-10-10T02:09:19Z</dcterms:created>
  <dcterms:modified xsi:type="dcterms:W3CDTF">2026-10-10T02:09:19Z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