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skyline-aerospace-solutions"/>
    <w:p>
      <w:pPr>
        <w:pStyle w:val="Heading1"/>
      </w:pPr>
      <w:r>
        <w:t xml:space="preserve">SKYLINE AEROSPACE SOLUTIONS</w:t>
      </w:r>
    </w:p>
    <w:p>
      <w:pPr>
        <w:pStyle w:val="FirstParagraph"/>
      </w:pPr>
      <w:r>
        <w:t xml:space="preserve">19th Line, 45, Building 3</w:t>
      </w:r>
      <w:r>
        <w:br/>
      </w:r>
      <w:r>
        <w:t xml:space="preserve">Saint Petersburg, 197198</w:t>
      </w:r>
      <w:r>
        <w:br/>
      </w:r>
      <w:r>
        <w:t xml:space="preserve">Russian Federation</w:t>
      </w:r>
      <w:r>
        <w:br/>
      </w:r>
      <w:r>
        <w:t xml:space="preserve">Email: billing@skyline-aero.ru</w:t>
      </w:r>
      <w:r>
        <w:br/>
      </w:r>
      <w:r>
        <w:t xml:space="preserve">Phone: +7 (812) 555-01-99</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INV-RU-2023-8942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from-service-provider"/>
    <w:p>
      <w:pPr>
        <w:pStyle w:val="Heading3"/>
      </w:pPr>
      <w:r>
        <w:t xml:space="preserve">Bill From (Service Provider)</w:t>
      </w:r>
    </w:p>
    <w:p>
      <w:pPr>
        <w:pStyle w:val="FirstParagraph"/>
      </w:pPr>
      <w:r>
        <w:rPr>
          <w:bCs/>
          <w:b/>
        </w:rPr>
        <w:t xml:space="preserve">Lead Aerospace Engineer:</w:t>
      </w:r>
      <w:r>
        <w:t xml:space="preserve"> </w:t>
      </w:r>
      <w:r>
        <w:t xml:space="preserve">Dr. Alexei Volkov</w:t>
      </w:r>
      <w:r>
        <w:br/>
      </w:r>
      <w:r>
        <w:rPr>
          <w:bCs/>
          <w:b/>
        </w:rPr>
        <w:t xml:space="preserve">License No:</w:t>
      </w:r>
      <w:r>
        <w:t xml:space="preserve"> </w:t>
      </w:r>
      <w:r>
        <w:t xml:space="preserve">SPB-AERO-ENG-4492</w:t>
      </w:r>
      <w:r>
        <w:br/>
      </w:r>
      <w:r>
        <w:rPr>
          <w:bCs/>
          <w:b/>
        </w:rPr>
        <w:t xml:space="preserve">Specialization:</w:t>
      </w:r>
      <w:r>
        <w:t xml:space="preserve"> </w:t>
      </w:r>
      <w:r>
        <w:t xml:space="preserve">Propulsion Systems &amp; Structural Dynamics</w:t>
      </w:r>
      <w:r>
        <w:br/>
      </w:r>
      <w:r>
        <w:rPr>
          <w:bCs/>
          <w:b/>
        </w:rPr>
        <w:t xml:space="preserve">Address:</w:t>
      </w:r>
      <w:r>
        <w:t xml:space="preserve"> </w:t>
      </w:r>
      <w:r>
        <w:t xml:space="preserve">19th Line, 45, Building 3, Saint Petersburg, Russia</w:t>
      </w:r>
    </w:p>
    <w:bookmarkEnd w:id="22"/>
    <w:bookmarkStart w:id="23" w:name="bill-to-client"/>
    <w:p>
      <w:pPr>
        <w:pStyle w:val="Heading3"/>
      </w:pPr>
      <w:r>
        <w:t xml:space="preserve">Bill To (Client)</w:t>
      </w:r>
    </w:p>
    <w:p>
      <w:pPr>
        <w:pStyle w:val="FirstParagraph"/>
      </w:pPr>
      <w:r>
        <w:rPr>
          <w:bCs/>
          <w:b/>
        </w:rPr>
        <w:t xml:space="preserve">Organization:</w:t>
      </w:r>
      <w:r>
        <w:t xml:space="preserve"> </w:t>
      </w:r>
      <w:r>
        <w:t xml:space="preserve">Northern Star Aviation Technologies</w:t>
      </w:r>
      <w:r>
        <w:br/>
      </w:r>
      <w:r>
        <w:rPr>
          <w:bCs/>
          <w:b/>
        </w:rPr>
        <w:t xml:space="preserve">Attn:</w:t>
      </w:r>
      <w:r>
        <w:t xml:space="preserve"> </w:t>
      </w:r>
      <w:r>
        <w:t xml:space="preserve">Procurement Department</w:t>
      </w:r>
      <w:r>
        <w:br/>
      </w:r>
      <w:r>
        <w:rPr>
          <w:bCs/>
          <w:b/>
        </w:rPr>
        <w:t xml:space="preserve">Address:</w:t>
      </w:r>
      <w:r>
        <w:t xml:space="preserve"> </w:t>
      </w:r>
      <w:r>
        <w:t xml:space="preserve">Nevsky Prospekt, 120, Saint Petersburg, 191025</w:t>
      </w:r>
      <w:r>
        <w:br/>
      </w:r>
      <w:r>
        <w:rPr>
          <w:bCs/>
          <w:b/>
        </w:rPr>
        <w:t xml:space="preserve">Russian Federation</w:t>
      </w:r>
      <w:r>
        <w:br/>
      </w:r>
      <w:r>
        <w:rPr>
          <w:bCs/>
          <w:b/>
        </w:rPr>
        <w:t xml:space="preserve">Tax ID (INN):</w:t>
      </w:r>
      <w:r>
        <w:t xml:space="preserve"> </w:t>
      </w:r>
      <w:r>
        <w:t xml:space="preserve">7801234567</w:t>
      </w:r>
    </w:p>
    <w:bookmarkEnd w:id="23"/>
    <w:bookmarkStart w:id="25" w:name="Xa76977cd4528390acdf511c1ecaaf02ac2e8122"/>
    <w:p>
      <w:pPr>
        <w:pStyle w:val="Heading3"/>
      </w:pPr>
      <w:r>
        <w:t xml:space="preserve">Project Description: Advanced Aerodynamic Analysis for UAV Prototype</w:t>
      </w:r>
    </w:p>
    <w:p>
      <w:pPr>
        <w:pStyle w:val="FirstParagraph"/>
      </w:pPr>
      <w:r>
        <w:t xml:space="preserve">This Invoice serves as a formal request for payment regarding the comprehensive engineering services rendered by a certified Aerospace Engineer located in Russia Saint Petersburg. The scope of work involved high-fidelity computational fluid dynamics (CFD) simulations, structural integrity assessments, and propulsion system optimization for a next-generation Unmanned Aerial Vehicle (UAV) intended for industrial inspection.</w:t>
      </w:r>
    </w:p>
    <w:p>
      <w:pPr>
        <w:pStyle w:val="BodyText"/>
      </w:pPr>
      <w:r>
        <w:t xml:space="preserve">The services were executed in strict accordance with the technical specifications provided by the client and adhere to the rigorous safety and quality standards mandated by the Federal Air Transport Agency (Rosaviatsia) within the Russian Federation. The engineering team utilized state-of-the-art simulation software to model airflow over the UAV's fuselage, ensuring minimal drag and maximum lift efficiency. Furthermore, a detailed stress analysis was conducted to verify the airframe's ability to withstand extreme operational conditions typical of the Saint Petersburg climate, including high humidity and variable wind loads.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rPr>
                <w:bCs/>
                <w:b/>
              </w:rPr>
              <w:t xml:space="preserve">Phase 1: Aerodynamic Modeling &amp; CFD Simulation</w:t>
            </w:r>
            <w:r>
              <w:br/>
            </w:r>
            <w:r>
              <w:t xml:space="preserve">Creation of 3D geometric models and execution of Reynolds-Averaged Navier-Stokes (RANS) simulations to optimize wing geometry.</w:t>
            </w:r>
          </w:p>
        </w:tc>
        <w:tc>
          <w:tcPr/>
          <w:p>
            <w:pPr>
              <w:pStyle w:val="Compact"/>
              <w:jc w:val="left"/>
            </w:pPr>
            <w:r>
              <w:t xml:space="preserve">40 Hours</w:t>
            </w:r>
          </w:p>
        </w:tc>
        <w:tc>
          <w:tcPr/>
          <w:p>
            <w:pPr>
              <w:pStyle w:val="Compact"/>
              <w:jc w:val="left"/>
            </w:pPr>
            <w:r>
              <w:t xml:space="preserve">12,500</w:t>
            </w:r>
          </w:p>
        </w:tc>
        <w:tc>
          <w:tcPr/>
          <w:p>
            <w:pPr>
              <w:pStyle w:val="Compact"/>
              <w:jc w:val="left"/>
            </w:pPr>
            <w:r>
              <w:t xml:space="preserve">500,000.00</w:t>
            </w:r>
          </w:p>
        </w:tc>
      </w:tr>
      <w:tr>
        <w:tc>
          <w:tcPr/>
          <w:p>
            <w:pPr>
              <w:pStyle w:val="Compact"/>
              <w:jc w:val="left"/>
            </w:pPr>
            <w:r>
              <w:rPr>
                <w:bCs/>
                <w:b/>
              </w:rPr>
              <w:t xml:space="preserve">Phase 2: Structural Finite Element Analysis (FEA)</w:t>
            </w:r>
            <w:r>
              <w:br/>
            </w:r>
            <w:r>
              <w:t xml:space="preserve">Stress testing of composite materials used in the airframe to ensure compliance with aerospace safety regulations.</w:t>
            </w:r>
          </w:p>
        </w:tc>
        <w:tc>
          <w:tcPr/>
          <w:p>
            <w:pPr>
              <w:pStyle w:val="Compact"/>
              <w:jc w:val="left"/>
            </w:pPr>
            <w:r>
              <w:t xml:space="preserve">30 Hours</w:t>
            </w:r>
          </w:p>
        </w:tc>
        <w:tc>
          <w:tcPr/>
          <w:p>
            <w:pPr>
              <w:pStyle w:val="Compact"/>
              <w:jc w:val="left"/>
            </w:pPr>
            <w:r>
              <w:t xml:space="preserve">12,500</w:t>
            </w:r>
          </w:p>
        </w:tc>
        <w:tc>
          <w:tcPr/>
          <w:p>
            <w:pPr>
              <w:pStyle w:val="Compact"/>
              <w:jc w:val="left"/>
            </w:pPr>
            <w:r>
              <w:t xml:space="preserve">375,000.00</w:t>
            </w:r>
          </w:p>
        </w:tc>
      </w:tr>
      <w:tr>
        <w:tc>
          <w:tcPr/>
          <w:p>
            <w:pPr>
              <w:pStyle w:val="Compact"/>
              <w:jc w:val="left"/>
            </w:pPr>
            <w:r>
              <w:rPr>
                <w:bCs/>
                <w:b/>
              </w:rPr>
              <w:t xml:space="preserve">Phase 3: Propulsion System Integration Review</w:t>
            </w:r>
            <w:r>
              <w:br/>
            </w:r>
            <w:r>
              <w:t xml:space="preserve">Analysis of electric motor efficiency and battery thermal management systems specific to the UAV's payload capacity.</w:t>
            </w:r>
          </w:p>
        </w:tc>
        <w:tc>
          <w:tcPr/>
          <w:p>
            <w:pPr>
              <w:pStyle w:val="Compact"/>
              <w:jc w:val="left"/>
            </w:pPr>
            <w:r>
              <w:t xml:space="preserve">20 Hours</w:t>
            </w:r>
          </w:p>
        </w:tc>
        <w:tc>
          <w:tcPr/>
          <w:p>
            <w:pPr>
              <w:pStyle w:val="Compact"/>
              <w:jc w:val="left"/>
            </w:pPr>
            <w:r>
              <w:t xml:space="preserve">12,500</w:t>
            </w:r>
          </w:p>
        </w:tc>
        <w:tc>
          <w:tcPr/>
          <w:p>
            <w:pPr>
              <w:pStyle w:val="Compact"/>
              <w:jc w:val="left"/>
            </w:pPr>
            <w:r>
              <w:t xml:space="preserve">250,000.00</w:t>
            </w:r>
          </w:p>
        </w:tc>
      </w:tr>
      <w:tr>
        <w:tc>
          <w:tcPr/>
          <w:p>
            <w:pPr>
              <w:pStyle w:val="Compact"/>
              <w:jc w:val="left"/>
            </w:pPr>
            <w:r>
              <w:rPr>
                <w:bCs/>
                <w:b/>
              </w:rPr>
              <w:t xml:space="preserve">Phase 4: Technical Documentation &amp; Reporting</w:t>
            </w:r>
            <w:r>
              <w:br/>
            </w:r>
            <w:r>
              <w:t xml:space="preserve">Compilation of engineering reports, certification data, and final recommendations for the client's review.</w:t>
            </w:r>
          </w:p>
        </w:tc>
        <w:tc>
          <w:tcPr/>
          <w:p>
            <w:pPr>
              <w:pStyle w:val="Compact"/>
              <w:jc w:val="left"/>
            </w:pPr>
            <w:r>
              <w:t xml:space="preserve">10 Hours</w:t>
            </w:r>
          </w:p>
        </w:tc>
        <w:tc>
          <w:tcPr/>
          <w:p>
            <w:pPr>
              <w:pStyle w:val="Compact"/>
              <w:jc w:val="left"/>
            </w:pPr>
            <w:r>
              <w:t xml:space="preserve">12,500</w:t>
            </w:r>
          </w:p>
        </w:tc>
        <w:tc>
          <w:tcPr/>
          <w:p>
            <w:pPr>
              <w:pStyle w:val="Compact"/>
              <w:jc w:val="left"/>
            </w:pPr>
            <w:r>
              <w:t xml:space="preserve">125,000.00</w:t>
            </w:r>
          </w:p>
        </w:tc>
      </w:tr>
    </w:tbl>
    <w:p>
      <w:pPr>
        <w:pStyle w:val="BodyText"/>
      </w:pPr>
      <w:r>
        <w:t xml:space="preserve">Subtotal:</w:t>
      </w:r>
      <w:r>
        <w:t xml:space="preserve"> </w:t>
      </w:r>
      <w:r>
        <w:t xml:space="preserve">1,250,000.00 RUB</w:t>
      </w:r>
    </w:p>
    <w:p>
      <w:pPr>
        <w:pStyle w:val="BodyText"/>
      </w:pPr>
      <w:r>
        <w:t xml:space="preserve">VAT (20%):</w:t>
      </w:r>
      <w:r>
        <w:t xml:space="preserve"> </w:t>
      </w:r>
      <w:r>
        <w:t xml:space="preserve">250,000.00 RUB</w:t>
      </w:r>
    </w:p>
    <w:p>
      <w:pPr>
        <w:pStyle w:val="BodyText"/>
      </w:pPr>
      <w:r>
        <w:t xml:space="preserve">Total Due:</w:t>
      </w:r>
      <w:r>
        <w:t xml:space="preserve"> </w:t>
      </w:r>
      <w:r>
        <w:t xml:space="preserve">1,500,000.00 RUB</w:t>
      </w:r>
    </w:p>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penalty fee of 0.1% per day.</w:t>
      </w:r>
    </w:p>
    <w:p>
      <w:pPr>
        <w:numPr>
          <w:ilvl w:val="0"/>
          <w:numId w:val="1001"/>
        </w:numPr>
        <w:pStyle w:val="Compact"/>
      </w:pPr>
      <w:r>
        <w:rPr>
          <w:bCs/>
          <w:b/>
        </w:rPr>
        <w:t xml:space="preserve">Currency:</w:t>
      </w:r>
      <w:r>
        <w:t xml:space="preserve"> </w:t>
      </w:r>
      <w:r>
        <w:t xml:space="preserve">All amounts are denominated in Russian Rubles (RUB).</w:t>
      </w:r>
    </w:p>
    <w:p>
      <w:pPr>
        <w:numPr>
          <w:ilvl w:val="0"/>
          <w:numId w:val="1001"/>
        </w:numPr>
        <w:pStyle w:val="Compact"/>
      </w:pPr>
      <w:r>
        <w:rPr>
          <w:bCs/>
          <w:b/>
        </w:rPr>
        <w:t xml:space="preserve">Bank Details:</w:t>
      </w:r>
    </w:p>
    <w:p>
      <w:pPr>
        <w:numPr>
          <w:ilvl w:val="1"/>
          <w:numId w:val="1002"/>
        </w:numPr>
        <w:pStyle w:val="Compact"/>
      </w:pPr>
      <w:r>
        <w:t xml:space="preserve">Bank Name: Sberbank of Russia</w:t>
      </w:r>
    </w:p>
    <w:p>
      <w:pPr>
        <w:numPr>
          <w:ilvl w:val="1"/>
          <w:numId w:val="1002"/>
        </w:numPr>
        <w:pStyle w:val="Compact"/>
      </w:pPr>
      <w:r>
        <w:t xml:space="preserve">Account Name: Skyline Aerospace Solutions LLC</w:t>
      </w:r>
    </w:p>
    <w:p>
      <w:pPr>
        <w:numPr>
          <w:ilvl w:val="1"/>
          <w:numId w:val="1002"/>
        </w:numPr>
        <w:pStyle w:val="Compact"/>
      </w:pPr>
      <w:r>
        <w:t xml:space="preserve">Account Number: 40702810000000001234</w:t>
      </w:r>
    </w:p>
    <w:p>
      <w:pPr>
        <w:numPr>
          <w:ilvl w:val="1"/>
          <w:numId w:val="1002"/>
        </w:numPr>
        <w:pStyle w:val="Compact"/>
      </w:pPr>
      <w:r>
        <w:t xml:space="preserve">BIC: 044525225</w:t>
      </w:r>
    </w:p>
    <w:p>
      <w:pPr>
        <w:numPr>
          <w:ilvl w:val="1"/>
          <w:numId w:val="1002"/>
        </w:numPr>
        <w:pStyle w:val="Compact"/>
      </w:pPr>
      <w:r>
        <w:t xml:space="preserve">Correspondent Account: 30101810400000000225</w:t>
      </w:r>
    </w:p>
    <w:p>
      <w:pPr>
        <w:numPr>
          <w:ilvl w:val="0"/>
          <w:numId w:val="1001"/>
        </w:numPr>
        <w:pStyle w:val="Compact"/>
      </w:pPr>
      <w:r>
        <w:rPr>
          <w:bCs/>
          <w:b/>
        </w:rPr>
        <w:t xml:space="preserve">Intellectual Property:</w:t>
      </w:r>
      <w:r>
        <w:t xml:space="preserve"> </w:t>
      </w:r>
      <w:r>
        <w:t xml:space="preserve">Upon full payment, all engineering data, simulation files, and reports generated by the Aerospace Engineer become the sole property of the client.</w:t>
      </w:r>
    </w:p>
    <w:p>
      <w:pPr>
        <w:numPr>
          <w:ilvl w:val="0"/>
          <w:numId w:val="1001"/>
        </w:numPr>
        <w:pStyle w:val="Compact"/>
      </w:pPr>
      <w:r>
        <w:rPr>
          <w:bCs/>
          <w:b/>
        </w:rPr>
        <w:t xml:space="preserve">Regulatory Compliance:</w:t>
      </w:r>
      <w:r>
        <w:t xml:space="preserve"> </w:t>
      </w:r>
      <w:r>
        <w:t xml:space="preserve">All services provided comply with the Civil Code of the Russian Federation and relevant aerospace industry standards.</w:t>
      </w:r>
    </w:p>
    <w:p>
      <w:pPr>
        <w:pStyle w:val="FirstParagraph"/>
      </w:pPr>
      <w:r>
        <w:t xml:space="preserve">Thank you for your business. We appreciate the opportunity to contribute to the advancement of aviation technology in Russia Saint Petersburg. Should you have any questions regarding this Invoice or the engineering services provided, please contact our billing department immediately.</w:t>
      </w:r>
    </w:p>
    <w:bookmarkEnd w:id="24"/>
    <w:p>
      <w:pPr>
        <w:pStyle w:val="BodyText"/>
      </w:pPr>
      <w:r>
        <w:t xml:space="preserve">Authorized Signature (Provider)</w:t>
      </w:r>
    </w:p>
    <w:p>
      <w:pPr>
        <w:pStyle w:val="BodyText"/>
      </w:pPr>
      <w:r>
        <w:rPr>
          <w:iCs/>
          <w:i/>
        </w:rPr>
        <w:t xml:space="preserve">Dr. Alexei Volkov</w:t>
      </w:r>
    </w:p>
    <w:p>
      <w:pPr>
        <w:pStyle w:val="BodyText"/>
      </w:pPr>
      <w:r>
        <w:t xml:space="preserve">Authorized Signature (Client)</w:t>
      </w:r>
    </w:p>
    <w:p>
      <w:pPr>
        <w:pStyle w:val="BodyText"/>
      </w:pPr>
      <w:r>
        <w:rPr>
          <w:iCs/>
          <w:i/>
        </w:rPr>
        <w:t xml:space="preserve">__________________________</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2026-10-10T04:17:17Z</dcterms:created>
  <dcterms:modified xsi:type="dcterms:W3CDTF">2026-10-10T04:17:17Z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