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skyward-aerospace-solutions"/>
    <w:p>
      <w:pPr>
        <w:pStyle w:val="Heading1"/>
      </w:pPr>
      <w:r>
        <w:t xml:space="preserve">Skyward Aerospace Solutions</w:t>
      </w:r>
    </w:p>
    <w:p>
      <w:pPr>
        <w:pStyle w:val="FirstParagraph"/>
      </w:pPr>
      <w:r>
        <w:t xml:space="preserve">123/45 Sukhumvit Road, Khlong Toei Nuea</w:t>
      </w:r>
    </w:p>
    <w:p>
      <w:pPr>
        <w:pStyle w:val="BodyText"/>
      </w:pPr>
      <w:r>
        <w:t xml:space="preserve">Watthana District,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</w:p>
    <w:p>
      <w:pPr>
        <w:pStyle w:val="BodyText"/>
      </w:pPr>
      <w:r>
        <w:t xml:space="preserve">Tax ID: 0105551234567</w:t>
      </w:r>
    </w:p>
    <w:p>
      <w:pPr>
        <w:pStyle w:val="BodyText"/>
      </w:pPr>
      <w:r>
        <w:t xml:space="preserve">Email: billing@skywardaero.co.th</w:t>
      </w:r>
    </w:p>
    <w:p>
      <w:pPr>
        <w:pStyle w:val="BodyText"/>
      </w:pPr>
      <w:r>
        <w:t xml:space="preserve">Phone: +66 2 123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INV-2023-TH-892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Aero-Struct-Opt-BKK-04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Horizon Aviation Manufacturing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88/9 Rajpracha Road, Lat Krabang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10520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Procurement Department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Mr. Somchai Jitkajorn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Aerospace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Structural Analysis and Optimization:</w:t>
            </w:r>
            <w:r>
              <w:t xml:space="preserve"> </w:t>
            </w:r>
            <w:r>
              <w:t xml:space="preserve">Comprehensive finite element analysis (FEA) for composite wing structures. This service, provided by a senior</w:t>
            </w:r>
            <w:r>
              <w:t xml:space="preserve"> </w:t>
            </w:r>
            <w:r>
              <w:rPr>
                <w:bCs/>
                <w:b/>
              </w:rPr>
              <w:t xml:space="preserve">Aerospace Engineer</w:t>
            </w:r>
            <w:r>
              <w:t xml:space="preserve">, includes load path verification, fatigue life prediction, and weight reduction strategies compliant with EASA and FAA standards, tailored for the humid climate conditions of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Aerodynamic CFD Simulation:</w:t>
            </w:r>
            <w:r>
              <w:t xml:space="preserve"> </w:t>
            </w:r>
            <w:r>
              <w:t xml:space="preserve">Computational Fluid Dynamics modeling for high-lift devices. The</w:t>
            </w:r>
            <w:r>
              <w:t xml:space="preserve"> </w:t>
            </w:r>
            <w:r>
              <w:rPr>
                <w:bCs/>
                <w:b/>
              </w:rPr>
              <w:t xml:space="preserve">Aerospace Engineer</w:t>
            </w:r>
            <w:r>
              <w:t xml:space="preserve"> </w:t>
            </w:r>
            <w:r>
              <w:t xml:space="preserve">performed detailed simulations to optimize airflow efficiency and reduce drag coefficients. This technical consultation ensures the aircraft design meets rigorous performance metrics required for regional operations in Southeast Asia.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Review:</w:t>
            </w:r>
            <w:r>
              <w:t xml:space="preserve"> </w:t>
            </w:r>
            <w:r>
              <w:t xml:space="preserve">Detailed review of engineering documentation to ensure adherence to local aviation regulations in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 </w:t>
            </w:r>
            <w:r>
              <w:t xml:space="preserve">and international safety standards. The</w:t>
            </w:r>
            <w:r>
              <w:t xml:space="preserve"> </w:t>
            </w:r>
            <w:r>
              <w:rPr>
                <w:bCs/>
                <w:b/>
              </w:rPr>
              <w:t xml:space="preserve">Aerospace Engineer</w:t>
            </w:r>
            <w:r>
              <w:t xml:space="preserve"> </w:t>
            </w:r>
            <w:r>
              <w:t xml:space="preserve">verified all technical specifications against the Civil Aviation Authority of Thailand (CAAT) requirements.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Technical Consultation:</w:t>
            </w:r>
            <w:r>
              <w:t xml:space="preserve"> </w:t>
            </w:r>
            <w:r>
              <w:t xml:space="preserve">Physical inspection and engineering assessment at the client's facility in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. The</w:t>
            </w:r>
            <w:r>
              <w:t xml:space="preserve"> </w:t>
            </w:r>
            <w:r>
              <w:rPr>
                <w:bCs/>
                <w:b/>
              </w:rPr>
              <w:t xml:space="preserve">Aerospace Engineer</w:t>
            </w:r>
            <w:r>
              <w:t xml:space="preserve"> </w:t>
            </w:r>
            <w:r>
              <w:t xml:space="preserve">provided expert guidance on manufacturing tolerances and assembly procedures for critical flight control components.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Propulsion System Integration Analysis:</w:t>
            </w:r>
            <w:r>
              <w:t xml:space="preserve"> </w:t>
            </w:r>
            <w:r>
              <w:t xml:space="preserve">Evaluation of engine mount stress factors and thermal management systems. This specialized</w:t>
            </w:r>
            <w:r>
              <w:t xml:space="preserve"> </w:t>
            </w:r>
            <w:r>
              <w:rPr>
                <w:bCs/>
                <w:b/>
              </w:rPr>
              <w:t xml:space="preserve">Aerospace Engineer</w:t>
            </w:r>
            <w:r>
              <w:t xml:space="preserve"> </w:t>
            </w:r>
            <w:r>
              <w:t xml:space="preserve">service ensures optimal integration of the propulsion unit with the airframe, considering the specific operational environment of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490,000.00 THB</w:t>
      </w:r>
    </w:p>
    <w:p>
      <w:pPr>
        <w:pStyle w:val="BodyText"/>
      </w:pPr>
      <w:r>
        <w:t xml:space="preserve">VAT (7%):</w:t>
      </w:r>
      <w:r>
        <w:t xml:space="preserve"> </w:t>
      </w:r>
      <w:r>
        <w:t xml:space="preserve">34,300.00 THB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524,300.00 THB</w:t>
      </w:r>
    </w:p>
    <w:bookmarkStart w:id="23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Please reference the Invoice Number (INV-2023-TH-892) on all payments.</w:t>
      </w:r>
    </w:p>
    <w:p>
      <w:pPr>
        <w:pStyle w:val="BodyText"/>
      </w:pPr>
      <w:r>
        <w:rPr>
          <w:bCs/>
          <w:b/>
        </w:rPr>
        <w:t xml:space="preserve">Bank Details:</w:t>
      </w:r>
      <w:r>
        <w:t xml:space="preserve"> </w:t>
      </w:r>
      <w:r>
        <w:t xml:space="preserve">Payments should be made via bank transfer to Kasikorn Bank, Account Name: Skyward Aerospace Solutions Co., Ltd., Account Number: 123-4-56789-0, Swift Code: KASITHBK.</w:t>
      </w:r>
    </w:p>
    <w:p>
      <w:pPr>
        <w:pStyle w:val="BodyText"/>
      </w:pPr>
      <w:r>
        <w:rPr>
          <w:bCs/>
          <w:b/>
        </w:rPr>
        <w:t xml:space="preserve">Scope of Work: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covers professional services rendered by a certified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specializing in structural integrity and aerodynamic efficiency. All calculations and simulations were performed using industry-standard software validated for commercial aviation applications.</w:t>
      </w:r>
    </w:p>
    <w:p>
      <w:pPr>
        <w:pStyle w:val="BodyText"/>
      </w:pPr>
      <w:r>
        <w:rPr>
          <w:bCs/>
          <w:b/>
        </w:rPr>
        <w:t xml:space="preserve">Location Specifics:</w:t>
      </w:r>
      <w:r>
        <w:t xml:space="preserve"> </w:t>
      </w:r>
      <w:r>
        <w:t xml:space="preserve">All on-site services and regulatory consultations were conducted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 Any travel expenses outside of the Bangkok metropolitan area are billed separately.</w:t>
      </w:r>
    </w:p>
    <w:p>
      <w:pPr>
        <w:pStyle w:val="BodyText"/>
      </w:pPr>
      <w:r>
        <w:rPr>
          <w:bCs/>
          <w:b/>
        </w:rPr>
        <w:t xml:space="preserve">Intellectual Property:</w:t>
      </w:r>
      <w:r>
        <w:t xml:space="preserve"> </w:t>
      </w:r>
      <w:r>
        <w:t xml:space="preserve">Upon full payment of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, all engineering reports, simulation data, and design optimizations become the property of the client. The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retains the right to use anonymized data for portfolio purposes.</w:t>
      </w:r>
    </w:p>
    <w:p>
      <w:pPr>
        <w:pStyle w:val="BodyTex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valid for 90 days. Late payments may incur a penalty fee of 1.5% per month on the outstanding balance.</w:t>
      </w:r>
    </w:p>
    <w:bookmarkEnd w:id="23"/>
    <w:p>
      <w:pPr>
        <w:pStyle w:val="BodyText"/>
      </w:pPr>
      <w:r>
        <w:t xml:space="preserve">Thank you for your business. We appreciate your trust in our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expertise.</w:t>
      </w:r>
    </w:p>
    <w:p>
      <w:pPr>
        <w:pStyle w:val="BodyText"/>
      </w:pPr>
      <w:r>
        <w:t xml:space="preserve">Skyward Aerospace Solutions | Serving the Aviation Industry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and Beyond.</w:t>
      </w:r>
    </w:p>
    <w:p>
      <w:pPr>
        <w:pStyle w:val="BodyText"/>
      </w:pPr>
      <w:r>
        <w:t xml:space="preserve">Generated on October 24, 2023.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Aerospace Engineering Services</dc:title>
  <dc:creator/>
  <dc:language>en</dc:language>
  <cp:keywords/>
  <dcterms:created xsi:type="dcterms:W3CDTF">2026-10-10T06:50:41Z</dcterms:created>
  <dcterms:modified xsi:type="dcterms:W3CDTF">2026-10-10T06:50:41Z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