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tratosphere-engineering-solutions-ltd."/>
    <w:p>
      <w:pPr>
        <w:pStyle w:val="Heading1"/>
      </w:pPr>
      <w:r>
        <w:t xml:space="preserve">Stratosphere Engineering Solutions Ltd.</w:t>
      </w:r>
    </w:p>
    <w:p>
      <w:pPr>
        <w:pStyle w:val="FirstParagraph"/>
      </w:pPr>
      <w:r>
        <w:t xml:space="preserve">Registered Office: 42 Aviation Way, Canary Wharf, London, E14 5AB, United Kingdom</w:t>
      </w:r>
    </w:p>
    <w:p>
      <w:pPr>
        <w:pStyle w:val="BodyText"/>
      </w:pPr>
      <w:r>
        <w:t xml:space="preserve">Company Registration No: 12345678 | VAT No: GB 987 6543 21</w:t>
      </w:r>
    </w:p>
    <w:p>
      <w:pPr>
        <w:pStyle w:val="BodyText"/>
      </w:pPr>
      <w:r>
        <w:t xml:space="preserve">Email: accounts@stratosphere-eng.co.uk | Phone: +44 (0)20 7946 0958</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Apex Aerospace Innovations PLC</w:t>
      </w:r>
    </w:p>
    <w:p>
      <w:pPr>
        <w:pStyle w:val="BodyText"/>
      </w:pPr>
      <w:r>
        <w:t xml:space="preserve">Attn: Procurement Department</w:t>
      </w:r>
    </w:p>
    <w:p>
      <w:pPr>
        <w:pStyle w:val="BodyText"/>
      </w:pPr>
      <w:r>
        <w:t xml:space="preserve">100 Finsbury Square, London, EC2A 1AE, United Kingdom</w:t>
      </w:r>
    </w:p>
    <w:p>
      <w:pPr>
        <w:pStyle w:val="BodyText"/>
      </w:pPr>
      <w:r>
        <w:t xml:space="preserve">Client Reference: AA-2023-LDN-004</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w:t>
      </w:r>
      <w:r>
        <w:t xml:space="preserve"> </w:t>
      </w:r>
      <w:r>
        <w:t xml:space="preserve">Next-Gen Turbine Blade Aerodynamic Analysis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 Qty</w:t>
            </w:r>
          </w:p>
        </w:tc>
        <w:tc>
          <w:tcPr/>
          <w:p>
            <w:pPr>
              <w:pStyle w:val="Compact"/>
              <w:jc w:val="left"/>
            </w:pPr>
            <w:r>
              <w:t xml:space="preserve">VAT (20%)</w:t>
            </w:r>
          </w:p>
        </w:tc>
        <w:tc>
          <w:tcPr/>
          <w:p>
            <w:pPr>
              <w:pStyle w:val="Compact"/>
              <w:jc w:val="left"/>
            </w:pPr>
            <w:r>
              <w:t xml:space="preserve">Amount (GBP)</w:t>
            </w:r>
          </w:p>
        </w:tc>
      </w:tr>
      <w:tr>
        <w:tc>
          <w:tcPr/>
          <w:p>
            <w:pPr>
              <w:pStyle w:val="Compact"/>
              <w:jc w:val="left"/>
            </w:pPr>
            <w:r>
              <w:t xml:space="preserve">1</w:t>
            </w:r>
          </w:p>
        </w:tc>
        <w:tc>
          <w:tcPr/>
          <w:p>
            <w:pPr>
              <w:pStyle w:val="Compact"/>
              <w:jc w:val="left"/>
            </w:pPr>
            <w:r>
              <w:rPr>
                <w:bCs/>
                <w:b/>
              </w:rPr>
              <w:t xml:space="preserve">Senior Aerospace Engineer Consultation:</w:t>
            </w:r>
            <w:r>
              <w:t xml:space="preserve"> </w:t>
            </w:r>
            <w:r>
              <w:t xml:space="preserve">Comprehensive review of preliminary design schematics for the new high-bypass turbofan engine. This service includes structural integrity assessment and material selection advice compliant with EASA CS-25 regulations. Conducted at our London headquarters.</w:t>
            </w:r>
          </w:p>
        </w:tc>
        <w:tc>
          <w:tcPr/>
          <w:p>
            <w:pPr>
              <w:pStyle w:val="Compact"/>
              <w:jc w:val="left"/>
            </w:pPr>
            <w:r>
              <w:t xml:space="preserve">£150.00 / 12 hrs</w:t>
            </w:r>
          </w:p>
        </w:tc>
        <w:tc>
          <w:tcPr/>
          <w:p>
            <w:pPr>
              <w:pStyle w:val="Compact"/>
              <w:jc w:val="left"/>
            </w:pPr>
            <w:r>
              <w:t xml:space="preserve">£360.00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Computational Fluid Dynamics (CFD) Simulation:</w:t>
            </w:r>
            <w:r>
              <w:t xml:space="preserve"> </w:t>
            </w:r>
            <w:r>
              <w:t xml:space="preserve">Execution of high-fidelity CFD simulations to analyze airflow dynamics over proposed turbine blade geometries. Includes post-processing of data to optimize lift-to-drag ratios and reduce thermal stress concentrations.</w:t>
            </w:r>
          </w:p>
        </w:tc>
        <w:tc>
          <w:tcPr/>
          <w:p>
            <w:pPr>
              <w:pStyle w:val="Compact"/>
              <w:jc w:val="left"/>
            </w:pPr>
            <w:r>
              <w:t xml:space="preserve">Flat Fee</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3</w:t>
            </w:r>
          </w:p>
        </w:tc>
        <w:tc>
          <w:tcPr/>
          <w:p>
            <w:pPr>
              <w:pStyle w:val="Compact"/>
              <w:jc w:val="left"/>
            </w:pPr>
            <w:r>
              <w:rPr>
                <w:bCs/>
                <w:b/>
              </w:rPr>
              <w:t xml:space="preserve">Finite Element Analysis (FEA) Report:</w:t>
            </w:r>
            <w:r>
              <w:t xml:space="preserve"> </w:t>
            </w:r>
            <w:r>
              <w:t xml:space="preserve">Detailed stress analysis report focusing on fatigue life prediction under cyclic loading conditions. This ensures the component meets the rigorous safety standards required for commercial aviation in the United Kingdom and EU markets.</w:t>
            </w:r>
          </w:p>
        </w:tc>
        <w:tc>
          <w:tcPr/>
          <w:p>
            <w:pPr>
              <w:pStyle w:val="Compact"/>
              <w:jc w:val="left"/>
            </w:pPr>
            <w:r>
              <w:t xml:space="preserve">£175.00 / 16 hrs</w:t>
            </w:r>
          </w:p>
        </w:tc>
        <w:tc>
          <w:tcPr/>
          <w:p>
            <w:pPr>
              <w:pStyle w:val="Compact"/>
              <w:jc w:val="left"/>
            </w:pPr>
            <w:r>
              <w:t xml:space="preserve">£560.00</w:t>
            </w:r>
          </w:p>
        </w:tc>
        <w:tc>
          <w:tcPr/>
          <w:p>
            <w:pPr>
              <w:pStyle w:val="Compact"/>
              <w:jc w:val="left"/>
            </w:pPr>
            <w:r>
              <w:t xml:space="preserve">£2,800.00</w:t>
            </w:r>
          </w:p>
        </w:tc>
      </w:tr>
      <w:tr>
        <w:tc>
          <w:tcPr/>
          <w:p>
            <w:pPr>
              <w:pStyle w:val="Compact"/>
              <w:jc w:val="left"/>
            </w:pPr>
            <w:r>
              <w:t xml:space="preserve">4</w:t>
            </w:r>
          </w:p>
        </w:tc>
        <w:tc>
          <w:tcPr/>
          <w:p>
            <w:pPr>
              <w:pStyle w:val="Compact"/>
              <w:jc w:val="left"/>
            </w:pPr>
            <w:r>
              <w:rPr>
                <w:bCs/>
                <w:b/>
              </w:rPr>
              <w:t xml:space="preserve">Regulatory Compliance Review:</w:t>
            </w:r>
            <w:r>
              <w:t xml:space="preserve"> </w:t>
            </w:r>
            <w:r>
              <w:t xml:space="preserve">Verification of design parameters against current UK CAA and EASA airworthiness directives. Preparation of technical documentation required for the Type Certification process.</w:t>
            </w:r>
          </w:p>
        </w:tc>
        <w:tc>
          <w:tcPr/>
          <w:p>
            <w:pPr>
              <w:pStyle w:val="Compact"/>
              <w:jc w:val="left"/>
            </w:pPr>
            <w:r>
              <w:t xml:space="preserve">£160.00 / 8 hrs</w:t>
            </w:r>
          </w:p>
        </w:tc>
        <w:tc>
          <w:tcPr/>
          <w:p>
            <w:pPr>
              <w:pStyle w:val="Compact"/>
              <w:jc w:val="left"/>
            </w:pPr>
            <w:r>
              <w:t xml:space="preserve">£256.00</w:t>
            </w:r>
          </w:p>
        </w:tc>
        <w:tc>
          <w:tcPr/>
          <w:p>
            <w:pPr>
              <w:pStyle w:val="Compact"/>
              <w:jc w:val="left"/>
            </w:pPr>
            <w:r>
              <w:t xml:space="preserve">£1,280.00</w:t>
            </w:r>
          </w:p>
        </w:tc>
      </w:tr>
      <w:tr>
        <w:tc>
          <w:tcPr/>
          <w:p>
            <w:pPr>
              <w:pStyle w:val="Compact"/>
              <w:jc w:val="left"/>
            </w:pPr>
            <w:r>
              <w:t xml:space="preserve">5</w:t>
            </w:r>
          </w:p>
        </w:tc>
        <w:tc>
          <w:tcPr/>
          <w:p>
            <w:pPr>
              <w:pStyle w:val="Compact"/>
              <w:jc w:val="left"/>
            </w:pPr>
            <w:r>
              <w:rPr>
                <w:bCs/>
                <w:b/>
              </w:rPr>
              <w:t xml:space="preserve">On-Site Technical Workshop:</w:t>
            </w:r>
            <w:r>
              <w:t xml:space="preserve"> </w:t>
            </w:r>
            <w:r>
              <w:t xml:space="preserve">Delivery of a specialized workshop for the internal engineering team at Apex Aerospace Innovations, London. Topics covered include advanced composite material integration and failure mode effects analysis (FMEA).</w:t>
            </w:r>
          </w:p>
        </w:tc>
        <w:tc>
          <w:tcPr/>
          <w:p>
            <w:pPr>
              <w:pStyle w:val="Compact"/>
              <w:jc w:val="left"/>
            </w:pPr>
            <w:r>
              <w:t xml:space="preserve">£2,000.00 / Day</w:t>
            </w:r>
          </w:p>
        </w:tc>
        <w:tc>
          <w:tcPr/>
          <w:p>
            <w:pPr>
              <w:pStyle w:val="Compact"/>
              <w:jc w:val="left"/>
            </w:pPr>
            <w:r>
              <w:t xml:space="preserve">£400.00</w:t>
            </w:r>
          </w:p>
        </w:tc>
        <w:tc>
          <w:tcPr/>
          <w:p>
            <w:pPr>
              <w:pStyle w:val="Compact"/>
              <w:jc w:val="left"/>
            </w:pPr>
            <w:r>
              <w:t xml:space="preserve">£2,000.00</w:t>
            </w:r>
          </w:p>
        </w:tc>
      </w:tr>
    </w:tbl>
    <w:p>
      <w:pPr>
        <w:pStyle w:val="BodyText"/>
      </w:pPr>
      <w:r>
        <w:t xml:space="preserve">Subtotal:</w:t>
      </w:r>
      <w:r>
        <w:t xml:space="preserve"> </w:t>
      </w:r>
      <w:r>
        <w:t xml:space="preserve">£13,880.00</w:t>
      </w:r>
    </w:p>
    <w:p>
      <w:pPr>
        <w:pStyle w:val="BodyText"/>
      </w:pPr>
      <w:r>
        <w:t xml:space="preserve">VAT (20%):</w:t>
      </w:r>
      <w:r>
        <w:t xml:space="preserve"> </w:t>
      </w:r>
      <w:r>
        <w:t xml:space="preserve">£2,776.00</w:t>
      </w:r>
    </w:p>
    <w:p>
      <w:pPr>
        <w:pStyle w:val="BodyText"/>
      </w:pPr>
      <w:r>
        <w:t xml:space="preserve">Total Due (GBP):</w:t>
      </w:r>
      <w:r>
        <w:t xml:space="preserve"> </w:t>
      </w:r>
      <w:r>
        <w:t xml:space="preserve">£16,656.00</w:t>
      </w:r>
    </w:p>
    <w:bookmarkStart w:id="24" w:name="payment-terms-conditions"/>
    <w:p>
      <w:pPr>
        <w:pStyle w:val="Heading4"/>
      </w:pPr>
      <w:r>
        <w:t xml:space="preserve">Payment Terms &amp; Conditions:</w:t>
      </w:r>
    </w:p>
    <w:p>
      <w:pPr>
        <w:pStyle w:val="FirstParagraph"/>
      </w:pPr>
      <w:r>
        <w:t xml:space="preserve">Payment is due within 30 days of the invoice date. Please make all payments via Bank Transfer to the account details below.</w:t>
      </w:r>
      <w:r>
        <w:t xml:space="preserve"> </w:t>
      </w:r>
      <w:r>
        <w:t xml:space="preserve">Late payments may incur interest charges at a rate of 4% above the Bank of England base rate, in accordance with the Late Payment of Commercial Debts (Interest) Act 1998.</w:t>
      </w:r>
    </w:p>
    <w:p>
      <w:pPr>
        <w:pStyle w:val="BodyText"/>
      </w:pPr>
      <w:r>
        <w:rPr>
          <w:bCs/>
          <w:b/>
        </w:rPr>
        <w:t xml:space="preserve">Bank Details:</w:t>
      </w:r>
      <w:r>
        <w:br/>
      </w:r>
      <w:r>
        <w:t xml:space="preserve">Bank Name: Barclays Bank PLC</w:t>
      </w:r>
      <w:r>
        <w:br/>
      </w:r>
      <w:r>
        <w:t xml:space="preserve">Account Name: Stratosphere Engineering Solutions Ltd.</w:t>
      </w:r>
      <w:r>
        <w:br/>
      </w:r>
      <w:r>
        <w:t xml:space="preserve">Sort Code: 20-00-00</w:t>
      </w:r>
      <w:r>
        <w:br/>
      </w:r>
      <w:r>
        <w:t xml:space="preserve">Account Number: 12345678</w:t>
      </w:r>
      <w:r>
        <w:br/>
      </w:r>
      <w:r>
        <w:t xml:space="preserve">IBAN: GB29 BARC 2000 0012 3456 78</w:t>
      </w:r>
      <w:r>
        <w:br/>
      </w:r>
      <w:r>
        <w:t xml:space="preserve">SWIFT/BIC: BARCGB22</w:t>
      </w:r>
    </w:p>
    <w:p>
      <w:pPr>
        <w:pStyle w:val="BodyText"/>
      </w:pPr>
      <w:r>
        <w:rPr>
          <w:bCs/>
          <w:b/>
        </w:rPr>
        <w:t xml:space="preserve">Technical Disclaimer:</w:t>
      </w:r>
      <w:r>
        <w:br/>
      </w:r>
      <w:r>
        <w:t xml:space="preserve">All engineering analyses and reports provided by our Aerospace Engineers are based on the data supplied by the client and standard industry assumptions.</w:t>
      </w:r>
      <w:r>
        <w:t xml:space="preserve"> </w:t>
      </w:r>
      <w:r>
        <w:t xml:space="preserve">While we adhere to the highest professional standards in the United Kingdom, final design validation and certification remain the responsibility of the client and relevant aviation authorities.</w:t>
      </w:r>
    </w:p>
    <w:p>
      <w:pPr>
        <w:pStyle w:val="BodyText"/>
      </w:pPr>
      <w:r>
        <w:t xml:space="preserve">Thank you for choosing Stratosphere Engineering Solutions for your aerospace engineering requirements in London. We look forward to continuing our successful partnership.</w:t>
      </w:r>
    </w:p>
    <w:bookmarkEnd w:id="24"/>
    <w:p>
      <w:pPr>
        <w:pStyle w:val="BodyText"/>
      </w:pPr>
      <w:r>
        <w:rPr>
          <w:bCs/>
          <w:b/>
        </w:rPr>
        <w:t xml:space="preserve">Authorized By:</w:t>
      </w:r>
    </w:p>
    <w:p>
      <w:pPr>
        <w:pStyle w:val="BodyText"/>
      </w:pPr>
      <w:r>
        <w:t xml:space="preserve">Dr. Eleanor Vance</w:t>
      </w:r>
    </w:p>
    <w:p>
      <w:pPr>
        <w:pStyle w:val="BodyText"/>
      </w:pPr>
      <w:r>
        <w:t xml:space="preserve">Lead Aerospace Engineer &amp; Director</w:t>
      </w:r>
    </w:p>
    <w:p>
      <w:pPr>
        <w:pStyle w:val="BodyText"/>
      </w:pPr>
      <w:r>
        <w:t xml:space="preserve">Stratosphere Engineering Solutions Ltd.</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Apex Aerospace Innovations PLC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2026-10-10T02:01:05Z</dcterms:created>
  <dcterms:modified xsi:type="dcterms:W3CDTF">2026-10-10T02:01:05Z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