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pex-aerospace-solutions"/>
    <w:p>
      <w:pPr>
        <w:pStyle w:val="Heading1"/>
      </w:pPr>
      <w:r>
        <w:t xml:space="preserve">Apex Aerospace Solutions</w:t>
      </w:r>
    </w:p>
    <w:p>
      <w:pPr>
        <w:pStyle w:val="FirstParagraph"/>
      </w:pPr>
      <w:r>
        <w:rPr>
          <w:bCs/>
          <w:b/>
        </w:rPr>
        <w:t xml:space="preserve">Lead Aerospace Engineer:</w:t>
      </w:r>
      <w:r>
        <w:t xml:space="preserve"> </w:t>
      </w:r>
      <w:r>
        <w:t xml:space="preserve">Dr. Elena Rodriguez, PE</w:t>
      </w:r>
    </w:p>
    <w:p>
      <w:pPr>
        <w:pStyle w:val="BodyText"/>
      </w:pPr>
      <w:r>
        <w:t xml:space="preserve">1200 Biscayne Boulevard, Suite 400</w:t>
      </w:r>
    </w:p>
    <w:p>
      <w:pPr>
        <w:pStyle w:val="BodyText"/>
      </w:pPr>
      <w:r>
        <w:t xml:space="preserve">Miami, FL 33132, United States</w:t>
      </w:r>
    </w:p>
    <w:p>
      <w:pPr>
        <w:pStyle w:val="BodyText"/>
      </w:pPr>
      <w:r>
        <w:t xml:space="preserve">Phone: (305) 555-0199 | Email: billing@apexaerospace.com</w:t>
      </w:r>
    </w:p>
    <w:p>
      <w:pPr>
        <w:pStyle w:val="BodyText"/>
      </w:pPr>
      <w:r>
        <w:t xml:space="preserve">Federal Tax ID (EIN): 59-1234567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Orbital Dynamics Corp.</w:t>
      </w:r>
    </w:p>
    <w:p>
      <w:pPr>
        <w:pStyle w:val="BodyText"/>
      </w:pPr>
      <w:r>
        <w:t xml:space="preserve">Attn: Procurement Department</w:t>
      </w:r>
    </w:p>
    <w:p>
      <w:pPr>
        <w:pStyle w:val="BodyText"/>
      </w:pPr>
      <w:r>
        <w:t xml:space="preserve">3400 NW 79th Avenue</w:t>
      </w:r>
    </w:p>
    <w:p>
      <w:pPr>
        <w:pStyle w:val="BodyText"/>
      </w:pPr>
      <w:r>
        <w:t xml:space="preserve">Miami, FL 33166, United States</w:t>
      </w:r>
    </w:p>
    <w:p>
      <w:pPr>
        <w:pStyle w:val="BodyText"/>
      </w:pPr>
      <w:r>
        <w:t xml:space="preserve">Contact: James Miller</w:t>
      </w:r>
    </w:p>
    <w:bookmarkEnd w:id="22"/>
    <w:bookmarkStart w:id="23" w:name="project-reference"/>
    <w:p>
      <w:pPr>
        <w:pStyle w:val="Heading3"/>
      </w:pPr>
      <w:r>
        <w:t xml:space="preserve">Project Reference:</w:t>
      </w:r>
    </w:p>
    <w:p>
      <w:pPr>
        <w:pStyle w:val="FirstParagraph"/>
      </w:pPr>
      <w:r>
        <w:rPr>
          <w:bCs/>
          <w:b/>
        </w:rPr>
        <w:t xml:space="preserve">Project ID:</w:t>
      </w:r>
      <w:r>
        <w:t xml:space="preserve"> </w:t>
      </w:r>
      <w:r>
        <w:t xml:space="preserve">OD-MIA-2023-X</w:t>
      </w:r>
    </w:p>
    <w:p>
      <w:pPr>
        <w:pStyle w:val="BodyText"/>
      </w:pPr>
      <w:r>
        <w:rPr>
          <w:bCs/>
          <w:b/>
        </w:rPr>
        <w:t xml:space="preserve">Project Name:</w:t>
      </w:r>
      <w:r>
        <w:t xml:space="preserve"> </w:t>
      </w:r>
      <w:r>
        <w:t xml:space="preserve">Suborbital Vehicle Structural Integrity Analysis</w:t>
      </w:r>
    </w:p>
    <w:p>
      <w:pPr>
        <w:pStyle w:val="BodyText"/>
      </w:pPr>
      <w:r>
        <w:rPr>
          <w:bCs/>
          <w:b/>
        </w:rPr>
        <w:t xml:space="preserve">Location:</w:t>
      </w:r>
      <w:r>
        <w:t xml:space="preserve"> </w:t>
      </w:r>
      <w:r>
        <w:t xml:space="preserve">Miami-Dade County, Florida</w:t>
      </w:r>
    </w:p>
    <w:p>
      <w:pPr>
        <w:pStyle w:val="BodyText"/>
      </w:pPr>
      <w:r>
        <w:rPr>
          <w:bCs/>
          <w:b/>
        </w:rPr>
        <w:t xml:space="preserve">PO Number:</w:t>
      </w:r>
      <w:r>
        <w:t xml:space="preserve"> </w:t>
      </w:r>
      <w:r>
        <w:t xml:space="preserve">PO-998877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Structural Load Analysis &amp; Simulation</w:t>
            </w:r>
            <w:r>
              <w:br/>
            </w:r>
            <w:r>
              <w:t xml:space="preserve">Comprehensive Finite Element Analysis (FEA) conducted by a Senior Aerospace Engineer to evaluate stress distribution on the primary airframe components. This service includes the modeling of aerodynamic loads specific to high-altitude flight profiles relevant to operations departing from the United States Miami region.</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Propulsion System Integration Review</w:t>
            </w:r>
            <w:r>
              <w:br/>
            </w:r>
            <w:r>
              <w:t xml:space="preserve">Technical consultation regarding the integration of hybrid propulsion units. The Aerospace Engineer provided a detailed review of thermal management systems and fuel line routing to ensure compliance with FAA regulations and safety standards applicable in Florida.</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technical documentation required for certification. This includes drafting reports on materials science and fatigue life analysis, ensuring all engineering data meets the rigorous standards required for aerospace projects operating within the United States.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On-Site Engineering Consultation (Miami)</w:t>
            </w:r>
            <w:r>
              <w:br/>
            </w:r>
            <w:r>
              <w:t xml:space="preserve">Physical presence at the client's facility in Miami, FL, to oversee prototype assembly and verify engineering tolerances. The Aerospace Engineer conducted real-time troubleshooting of avionics mounting brackets and provided immediate technical guidance to the assembly team.</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Software Licensing &amp; Computational Tools</w:t>
            </w:r>
            <w:r>
              <w:br/>
            </w:r>
            <w:r>
              <w:t xml:space="preserve">Allocation of costs for high-performance computing resources and specialized aerospace simulation software licenses used exclusively for this project during the billing period.</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$23,900.00</w:t>
            </w:r>
          </w:p>
        </w:tc>
      </w:tr>
      <w:tr>
        <w:tc>
          <w:tcPr/>
          <w:p>
            <w:pPr>
              <w:pStyle w:val="Compact"/>
              <w:jc w:val="left"/>
            </w:pPr>
            <w:r>
              <w:t xml:space="preserve">Florida State Sales Tax (7%):</w:t>
            </w:r>
          </w:p>
        </w:tc>
        <w:tc>
          <w:tcPr/>
          <w:p>
            <w:pPr>
              <w:pStyle w:val="Compact"/>
              <w:jc w:val="left"/>
            </w:pPr>
            <w:r>
              <w:t xml:space="preserve">$1,673.00</w:t>
            </w:r>
          </w:p>
        </w:tc>
      </w:tr>
      <w:tr>
        <w:tc>
          <w:tcPr/>
          <w:p>
            <w:pPr>
              <w:pStyle w:val="Compact"/>
              <w:jc w:val="left"/>
            </w:pPr>
            <w:r>
              <w:t xml:space="preserve">Miami-Dade County Surtax (1%):</w:t>
            </w:r>
          </w:p>
        </w:tc>
        <w:tc>
          <w:tcPr/>
          <w:p>
            <w:pPr>
              <w:pStyle w:val="Compact"/>
              <w:jc w:val="left"/>
            </w:pPr>
            <w:r>
              <w:t xml:space="preserve">$239.00</w:t>
            </w:r>
          </w:p>
        </w:tc>
      </w:tr>
      <w:tr>
        <w:tc>
          <w:tcPr/>
          <w:p>
            <w:pPr>
              <w:pStyle w:val="Compact"/>
              <w:jc w:val="left"/>
            </w:pPr>
            <w:r>
              <w:t xml:space="preserve">Total Due:</w:t>
            </w:r>
          </w:p>
        </w:tc>
        <w:tc>
          <w:tcPr/>
          <w:p>
            <w:pPr>
              <w:pStyle w:val="Compact"/>
              <w:jc w:val="left"/>
            </w:pPr>
            <w:r>
              <w:t xml:space="preserve">$25,812.00</w:t>
            </w:r>
          </w:p>
        </w:tc>
      </w:tr>
    </w:tbl>
    <w:bookmarkStart w:id="24" w:name="payment-instructions"/>
    <w:p>
      <w:pPr>
        <w:pStyle w:val="Heading3"/>
      </w:pPr>
      <w:r>
        <w:t xml:space="preserve">Payment Instructions</w:t>
      </w:r>
    </w:p>
    <w:p>
      <w:pPr>
        <w:pStyle w:val="FirstParagraph"/>
      </w:pPr>
      <w:r>
        <w:t xml:space="preserve">Please remit payment within 30 days of the invoice date. Late payments are subject to a 1.5% monthly interest charge.</w:t>
      </w:r>
    </w:p>
    <w:p>
      <w:pPr>
        <w:pStyle w:val="BodyText"/>
      </w:pPr>
      <w:r>
        <w:rPr>
          <w:bCs/>
          <w:b/>
        </w:rPr>
        <w:t xml:space="preserve">Bank Transfer (Wire):</w:t>
      </w:r>
    </w:p>
    <w:p>
      <w:pPr>
        <w:pStyle w:val="BodyText"/>
      </w:pPr>
      <w:r>
        <w:t xml:space="preserve">Bank Name: First National Bank of Miami</w:t>
      </w:r>
    </w:p>
    <w:p>
      <w:pPr>
        <w:pStyle w:val="BodyText"/>
      </w:pPr>
      <w:r>
        <w:t xml:space="preserve">Account Name: Apex Aerospace Solutions LLC</w:t>
      </w:r>
    </w:p>
    <w:p>
      <w:pPr>
        <w:pStyle w:val="BodyText"/>
      </w:pPr>
      <w:r>
        <w:t xml:space="preserve">Routing Number: 067014822</w:t>
      </w:r>
    </w:p>
    <w:p>
      <w:pPr>
        <w:pStyle w:val="BodyText"/>
      </w:pPr>
      <w:r>
        <w:t xml:space="preserve">Account Number: 9876543210</w:t>
      </w:r>
    </w:p>
    <w:p>
      <w:pPr>
        <w:pStyle w:val="BodyText"/>
      </w:pPr>
      <w:r>
        <w:t xml:space="preserve">SWIFT Code: FNBMUS33</w:t>
      </w:r>
    </w:p>
    <w:p>
      <w:pPr>
        <w:pStyle w:val="BodyText"/>
      </w:pPr>
      <w:r>
        <w:rPr>
          <w:iCs/>
          <w:i/>
        </w:rPr>
        <w:t xml:space="preserve">Please include Invoice Number INV-2023-8842 in the transfer reference.</w:t>
      </w:r>
    </w:p>
    <w:bookmarkEnd w:id="24"/>
    <w:bookmarkStart w:id="25" w:name="terms-and-conditions"/>
    <w:p>
      <w:pPr>
        <w:pStyle w:val="Heading3"/>
      </w:pPr>
      <w:r>
        <w:t xml:space="preserve">Terms and Conditions</w:t>
      </w:r>
    </w:p>
    <w:p>
      <w:pPr>
        <w:numPr>
          <w:ilvl w:val="0"/>
          <w:numId w:val="1001"/>
        </w:numPr>
        <w:pStyle w:val="Compact"/>
      </w:pPr>
      <w:r>
        <w:t xml:space="preserve">All services provided are performed by licensed Aerospace Engineers in accordance with professional engineering standards.</w:t>
      </w:r>
    </w:p>
    <w:p>
      <w:pPr>
        <w:numPr>
          <w:ilvl w:val="0"/>
          <w:numId w:val="1001"/>
        </w:numPr>
        <w:pStyle w:val="Compact"/>
      </w:pPr>
      <w:r>
        <w:t xml:space="preserve">This Invoice represents professional services rendered in Miami, Florida, United States, and is subject to applicable local, state, and federal taxes.</w:t>
      </w:r>
    </w:p>
    <w:p>
      <w:pPr>
        <w:numPr>
          <w:ilvl w:val="0"/>
          <w:numId w:val="1001"/>
        </w:numPr>
        <w:pStyle w:val="Compact"/>
      </w:pPr>
      <w:r>
        <w:t xml:space="preserve">Intellectual property rights regarding specific design modifications remain with the client upon full payment of this Invoice.</w:t>
      </w:r>
    </w:p>
    <w:p>
      <w:pPr>
        <w:numPr>
          <w:ilvl w:val="0"/>
          <w:numId w:val="1001"/>
        </w:numPr>
        <w:pStyle w:val="Compact"/>
      </w:pPr>
      <w:r>
        <w:t xml:space="preserve">Any disputes regarding this Invoice must be raised in writing within 10 business days of receipt.</w:t>
      </w:r>
    </w:p>
    <w:p>
      <w:pPr>
        <w:numPr>
          <w:ilvl w:val="0"/>
          <w:numId w:val="1001"/>
        </w:numPr>
        <w:pStyle w:val="Compact"/>
      </w:pPr>
      <w:r>
        <w:t xml:space="preserve">Apex Aerospace Solutions reserves the right to suspend ongoing engineering services if payment terms are not met.</w:t>
      </w:r>
    </w:p>
    <w:bookmarkEnd w:id="25"/>
    <w:p>
      <w:pPr>
        <w:pStyle w:val="FirstParagraph"/>
      </w:pPr>
      <w:r>
        <w:rPr>
          <w:bCs/>
          <w:b/>
        </w:rPr>
        <w:t xml:space="preserve">Authorized By (Vendor)</w:t>
      </w:r>
    </w:p>
    <w:p>
      <w:pPr>
        <w:pStyle w:val="BodyText"/>
      </w:pPr>
      <w:r>
        <w:t xml:space="preserve">Dr. Elena Rodriguez, PE</w:t>
      </w:r>
    </w:p>
    <w:p>
      <w:pPr>
        <w:pStyle w:val="BodyText"/>
      </w:pPr>
      <w:r>
        <w:t xml:space="preserve">Lead Aerospace Engineer</w:t>
      </w:r>
    </w:p>
    <w:p>
      <w:pPr>
        <w:pStyle w:val="BodyText"/>
      </w:pPr>
      <w:r>
        <w:t xml:space="preserve">Apex Aerospace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the opportunity to contribute to your aerospace initiatives in the United States.</w:t>
      </w:r>
    </w:p>
    <w:p>
      <w:pPr>
        <w:pStyle w:val="BodyText"/>
      </w:pPr>
      <w:r>
        <w:t xml:space="preserve">Apex Aerospace Solutions | 1200 Biscayne Blvd, Miami, FL 33132 | (305)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