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Architectural</w:t>
      </w:r>
      <w:r>
        <w:t xml:space="preserve"> </w:t>
      </w:r>
      <w:r>
        <w:t xml:space="preserve">Services</w:t>
      </w:r>
      <w:r>
        <w:t xml:space="preserve"> </w:t>
      </w:r>
      <w:r>
        <w:t xml:space="preserve">Invoice</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studio-metropolitano"/>
    <w:p>
      <w:pPr>
        <w:pStyle w:val="Heading1"/>
      </w:pPr>
      <w:r>
        <w:t xml:space="preserve">Studio Metropolitano</w:t>
      </w:r>
    </w:p>
    <w:p>
      <w:pPr>
        <w:pStyle w:val="FirstParagraph"/>
      </w:pPr>
      <w:r>
        <w:t xml:space="preserve">Professional Architectural Firm</w:t>
      </w:r>
    </w:p>
    <w:p>
      <w:pPr>
        <w:pStyle w:val="BodyText"/>
      </w:pPr>
      <w:r>
        <w:t xml:space="preserve">Av. Santa Fe 1234, Piso 5, Of. B</w:t>
      </w:r>
    </w:p>
    <w:p>
      <w:pPr>
        <w:pStyle w:val="BodyText"/>
      </w:pPr>
      <w:r>
        <w:t xml:space="preserve">Palermo, Buenos Aires, C1425, Argentina</w:t>
      </w:r>
    </w:p>
    <w:p>
      <w:pPr>
        <w:pStyle w:val="BodyText"/>
      </w:pPr>
      <w:r>
        <w:t xml:space="preserve">CUIT: 30-71234567-8</w:t>
      </w:r>
    </w:p>
    <w:p>
      <w:pPr>
        <w:pStyle w:val="BodyText"/>
      </w:pPr>
      <w:r>
        <w:t xml:space="preserve">Matrícula Profesional: ARBA-12345</w:t>
      </w:r>
    </w:p>
    <w:p>
      <w:pPr>
        <w:pStyle w:val="BodyText"/>
      </w:pPr>
      <w:r>
        <w:t xml:space="preserve">contact@studiometropolitano.ar</w:t>
      </w:r>
    </w:p>
    <w:bookmarkEnd w:id="20"/>
    <w:bookmarkStart w:id="21" w:name="invoice"/>
    <w:p>
      <w:pPr>
        <w:pStyle w:val="Heading2"/>
      </w:pPr>
      <w:r>
        <w:t xml:space="preserve">INVOICE</w:t>
      </w:r>
    </w:p>
    <w:p>
      <w:pPr>
        <w:pStyle w:val="FirstParagraph"/>
      </w:pPr>
      <w:r>
        <w:t xml:space="preserve">Invoice Number: #INV-2023-089</w:t>
      </w:r>
    </w:p>
    <w:p>
      <w:pPr>
        <w:pStyle w:val="BodyText"/>
      </w:pPr>
      <w:r>
        <w:t xml:space="preserve">Date of Issue: October 24, 2023</w:t>
      </w:r>
    </w:p>
    <w:p>
      <w:pPr>
        <w:pStyle w:val="BodyText"/>
      </w:pPr>
      <w:r>
        <w:t xml:space="preserve">Due Date: November 24, 2023</w:t>
      </w:r>
    </w:p>
    <w:p>
      <w:pPr>
        <w:pStyle w:val="BodyText"/>
      </w:pPr>
      <w:r>
        <w:t xml:space="preserve">Project Reference: Residential Renovation - Belgrano</w:t>
      </w:r>
    </w:p>
    <w:bookmarkEnd w:id="21"/>
    <w:bookmarkStart w:id="22" w:name="bill-to"/>
    <w:p>
      <w:pPr>
        <w:pStyle w:val="Heading3"/>
      </w:pPr>
      <w:r>
        <w:t xml:space="preserve">Bill To:</w:t>
      </w:r>
    </w:p>
    <w:p>
      <w:pPr>
        <w:pStyle w:val="FirstParagraph"/>
      </w:pPr>
      <w:r>
        <w:rPr>
          <w:bCs/>
          <w:b/>
        </w:rPr>
        <w:t xml:space="preserve">Mr. Alejandro Fernandez</w:t>
      </w:r>
    </w:p>
    <w:p>
      <w:pPr>
        <w:pStyle w:val="BodyText"/>
      </w:pPr>
      <w:r>
        <w:t xml:space="preserve">Propietario del Inmueble</w:t>
      </w:r>
    </w:p>
    <w:p>
      <w:pPr>
        <w:pStyle w:val="BodyText"/>
      </w:pPr>
      <w:r>
        <w:t xml:space="preserve">Av. Cabildo 4567, Belgrano</w:t>
      </w:r>
    </w:p>
    <w:p>
      <w:pPr>
        <w:pStyle w:val="BodyText"/>
      </w:pPr>
      <w:r>
        <w:t xml:space="preserve">Buenos Aires, Argentina</w:t>
      </w:r>
    </w:p>
    <w:p>
      <w:pPr>
        <w:pStyle w:val="BodyText"/>
      </w:pPr>
      <w:r>
        <w:t xml:space="preserve">DNI: 28.456.789</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Architectural Services</w:t>
            </w:r>
          </w:p>
        </w:tc>
        <w:tc>
          <w:tcPr/>
          <w:p>
            <w:pPr>
              <w:pStyle w:val="Compact"/>
              <w:jc w:val="left"/>
            </w:pPr>
            <w:r>
              <w:t xml:space="preserve">Hours / Units</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1</w:t>
            </w:r>
          </w:p>
        </w:tc>
        <w:tc>
          <w:tcPr/>
          <w:p>
            <w:pPr>
              <w:pStyle w:val="Compact"/>
              <w:jc w:val="left"/>
            </w:pPr>
            <w:r>
              <w:rPr>
                <w:bCs/>
                <w:b/>
              </w:rPr>
              <w:t xml:space="preserve">Phase I: Preliminary Design &amp; Conceptualization</w:t>
            </w:r>
            <w:r>
              <w:br/>
            </w:r>
            <w:r>
              <w:t xml:space="preserve">Comprehensive site analysis of the property located in Buenos Aires. Development of initial massing studies, spatial organization diagrams, and conceptual sketches tailored to the client's requirements. This phase includes three (3) on-site meetings in Buenos Aires to assess structural constraints and environmental factors specific to the local climate and urban context.</w:t>
            </w:r>
          </w:p>
        </w:tc>
        <w:tc>
          <w:tcPr/>
          <w:p>
            <w:pPr>
              <w:pStyle w:val="Compact"/>
              <w:jc w:val="left"/>
            </w:pPr>
            <w:r>
              <w:t xml:space="preserve">40</w:t>
            </w:r>
          </w:p>
        </w:tc>
        <w:tc>
          <w:tcPr/>
          <w:p>
            <w:pPr>
              <w:pStyle w:val="Compact"/>
              <w:jc w:val="left"/>
            </w:pPr>
            <w:r>
              <w:t xml:space="preserve">45,000.00</w:t>
            </w:r>
          </w:p>
        </w:tc>
        <w:tc>
          <w:tcPr/>
          <w:p>
            <w:pPr>
              <w:pStyle w:val="Compact"/>
              <w:jc w:val="left"/>
            </w:pPr>
            <w:r>
              <w:t xml:space="preserve">1,800,000.00</w:t>
            </w:r>
          </w:p>
        </w:tc>
      </w:tr>
      <w:tr>
        <w:tc>
          <w:tcPr/>
          <w:p>
            <w:pPr>
              <w:pStyle w:val="Compact"/>
              <w:jc w:val="left"/>
            </w:pPr>
            <w:r>
              <w:t xml:space="preserve">2</w:t>
            </w:r>
          </w:p>
        </w:tc>
        <w:tc>
          <w:tcPr/>
          <w:p>
            <w:pPr>
              <w:pStyle w:val="Compact"/>
              <w:jc w:val="left"/>
            </w:pPr>
            <w:r>
              <w:rPr>
                <w:bCs/>
                <w:b/>
              </w:rPr>
              <w:t xml:space="preserve">Phase II: Schematic Design &amp; 3D Visualization</w:t>
            </w:r>
            <w:r>
              <w:br/>
            </w:r>
            <w:r>
              <w:t xml:space="preserve">Creation of detailed floor plans, elevations, and sections. Production of high-fidelity 3D renderings to visualize the proposed architectural intervention. Coordination with structural engineers regarding load-bearing walls. This service ensures compliance with the Buenos Aires City Planning Code (Código de Planeamiento Urbano).</w:t>
            </w:r>
          </w:p>
        </w:tc>
        <w:tc>
          <w:tcPr/>
          <w:p>
            <w:pPr>
              <w:pStyle w:val="Compact"/>
              <w:jc w:val="left"/>
            </w:pPr>
            <w:r>
              <w:t xml:space="preserve">60</w:t>
            </w:r>
          </w:p>
        </w:tc>
        <w:tc>
          <w:tcPr/>
          <w:p>
            <w:pPr>
              <w:pStyle w:val="Compact"/>
              <w:jc w:val="left"/>
            </w:pPr>
            <w:r>
              <w:t xml:space="preserve">45,000.00</w:t>
            </w:r>
          </w:p>
        </w:tc>
        <w:tc>
          <w:tcPr/>
          <w:p>
            <w:pPr>
              <w:pStyle w:val="Compact"/>
              <w:jc w:val="left"/>
            </w:pPr>
            <w:r>
              <w:t xml:space="preserve">2,700,000.00</w:t>
            </w:r>
          </w:p>
        </w:tc>
      </w:tr>
      <w:tr>
        <w:tc>
          <w:tcPr/>
          <w:p>
            <w:pPr>
              <w:pStyle w:val="Compact"/>
              <w:jc w:val="left"/>
            </w:pPr>
            <w:r>
              <w:t xml:space="preserve">3</w:t>
            </w:r>
          </w:p>
        </w:tc>
        <w:tc>
          <w:tcPr/>
          <w:p>
            <w:pPr>
              <w:pStyle w:val="Compact"/>
              <w:jc w:val="left"/>
            </w:pPr>
            <w:r>
              <w:rPr>
                <w:bCs/>
                <w:b/>
              </w:rPr>
              <w:t xml:space="preserve">Phase III: Construction Documentation</w:t>
            </w:r>
            <w:r>
              <w:br/>
            </w:r>
            <w:r>
              <w:t xml:space="preserve">Preparation of the complete technical project (Proyecto Ejecutivo) required for submission to the Dirección General de Urbanismo (DGU) in Buenos Aires. Includes detailed specifications for materials, finishes, and MEP (Mechanical, Electrical, Plumbing) coordination. This documentation is essential for obtaining the necessary building permits (Permiso de Obra) from the local municipality.</w:t>
            </w:r>
          </w:p>
        </w:tc>
        <w:tc>
          <w:tcPr/>
          <w:p>
            <w:pPr>
              <w:pStyle w:val="Compact"/>
              <w:jc w:val="left"/>
            </w:pPr>
            <w:r>
              <w:t xml:space="preserve">80</w:t>
            </w:r>
          </w:p>
        </w:tc>
        <w:tc>
          <w:tcPr/>
          <w:p>
            <w:pPr>
              <w:pStyle w:val="Compact"/>
              <w:jc w:val="left"/>
            </w:pPr>
            <w:r>
              <w:t xml:space="preserve">45,000.00</w:t>
            </w:r>
          </w:p>
        </w:tc>
        <w:tc>
          <w:tcPr/>
          <w:p>
            <w:pPr>
              <w:pStyle w:val="Compact"/>
              <w:jc w:val="left"/>
            </w:pPr>
            <w:r>
              <w:t xml:space="preserve">3,600,000.00</w:t>
            </w:r>
          </w:p>
        </w:tc>
      </w:tr>
      <w:tr>
        <w:tc>
          <w:tcPr/>
          <w:p>
            <w:pPr>
              <w:pStyle w:val="Compact"/>
              <w:jc w:val="left"/>
            </w:pPr>
            <w:r>
              <w:t xml:space="preserve">4</w:t>
            </w:r>
          </w:p>
        </w:tc>
        <w:tc>
          <w:tcPr/>
          <w:p>
            <w:pPr>
              <w:pStyle w:val="Compact"/>
              <w:jc w:val="left"/>
            </w:pPr>
            <w:r>
              <w:rPr>
                <w:bCs/>
                <w:b/>
              </w:rPr>
              <w:t xml:space="preserve">Phase IV: Administrative Management &amp; Permitting</w:t>
            </w:r>
            <w:r>
              <w:br/>
            </w:r>
            <w:r>
              <w:t xml:space="preserve">Management of the bureaucratic process for the approval of the architectural project within the Buenos Aires City Government systems. This includes the digital submission of plans, payment of municipal taxes on behalf of the client, and follow-up with urban planning officials to resolve any queries regarding the design compliance with local regulations.</w:t>
            </w:r>
          </w:p>
        </w:tc>
        <w:tc>
          <w:tcPr/>
          <w:p>
            <w:pPr>
              <w:pStyle w:val="Compact"/>
              <w:jc w:val="left"/>
            </w:pPr>
            <w:r>
              <w:t xml:space="preserve">1</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5</w:t>
            </w:r>
          </w:p>
        </w:tc>
        <w:tc>
          <w:tcPr/>
          <w:p>
            <w:pPr>
              <w:pStyle w:val="Compact"/>
              <w:jc w:val="left"/>
            </w:pPr>
            <w:r>
              <w:rPr>
                <w:bCs/>
                <w:b/>
              </w:rPr>
              <w:t xml:space="preserve">Phase V: Construction Administration (Monthly)</w:t>
            </w:r>
            <w:r>
              <w:br/>
            </w:r>
            <w:r>
              <w:t xml:space="preserve">On-site supervision during the construction phase. The architect will visit the site in Buenos Aires twice a week to ensure the work is being executed according to the approved plans and specifications. This includes issuing technical clarifications to the contractor and verifying the quality of materials used.</w:t>
            </w:r>
          </w:p>
        </w:tc>
        <w:tc>
          <w:tcPr/>
          <w:p>
            <w:pPr>
              <w:pStyle w:val="Compact"/>
              <w:jc w:val="left"/>
            </w:pPr>
            <w:r>
              <w:t xml:space="preserve">1</w:t>
            </w:r>
          </w:p>
        </w:tc>
        <w:tc>
          <w:tcPr/>
          <w:p>
            <w:pPr>
              <w:pStyle w:val="Compact"/>
              <w:jc w:val="left"/>
            </w:pPr>
            <w:r>
              <w:t xml:space="preserve">400,000.00</w:t>
            </w:r>
          </w:p>
        </w:tc>
        <w:tc>
          <w:tcPr/>
          <w:p>
            <w:pPr>
              <w:pStyle w:val="Compact"/>
              <w:jc w:val="left"/>
            </w:pPr>
            <w:r>
              <w:t xml:space="preserve">400,000.00</w:t>
            </w:r>
          </w:p>
        </w:tc>
      </w:tr>
    </w:tbl>
    <w:p>
      <w:pPr>
        <w:pStyle w:val="BodyText"/>
      </w:pPr>
      <w:r>
        <w:t xml:space="preserve">Subtotal:</w:t>
      </w:r>
      <w:r>
        <w:t xml:space="preserve"> </w:t>
      </w:r>
      <w:r>
        <w:t xml:space="preserve">ARS 8,850,000.00</w:t>
      </w:r>
    </w:p>
    <w:p>
      <w:pPr>
        <w:pStyle w:val="BodyText"/>
      </w:pPr>
      <w:r>
        <w:t xml:space="preserve">IVA (21% - Value Added Tax):</w:t>
      </w:r>
      <w:r>
        <w:t xml:space="preserve"> </w:t>
      </w:r>
      <w:r>
        <w:t xml:space="preserve">ARS 1,858,500.00</w:t>
      </w:r>
    </w:p>
    <w:p>
      <w:pPr>
        <w:pStyle w:val="BodyText"/>
      </w:pPr>
      <w:r>
        <w:t xml:space="preserve">IBI (Ingresos Brutos - Provincial Tax):</w:t>
      </w:r>
      <w:r>
        <w:t xml:space="preserve"> </w:t>
      </w:r>
      <w:r>
        <w:t xml:space="preserve">ARS 177,000.00</w:t>
      </w:r>
    </w:p>
    <w:p>
      <w:pPr>
        <w:pStyle w:val="BodyText"/>
      </w:pPr>
      <w:r>
        <w:t xml:space="preserve">TOTAL DUE:</w:t>
      </w:r>
      <w:r>
        <w:t xml:space="preserve"> </w:t>
      </w:r>
      <w:r>
        <w:t xml:space="preserve">ARS 10,885,500.00</w:t>
      </w:r>
    </w:p>
    <w:bookmarkStart w:id="23" w:name="payment-terms-banking-information"/>
    <w:p>
      <w:pPr>
        <w:pStyle w:val="Heading4"/>
      </w:pPr>
      <w:r>
        <w:t xml:space="preserve">Payment Terms &amp; Banking Information:</w:t>
      </w:r>
    </w:p>
    <w:p>
      <w:pPr>
        <w:pStyle w:val="FirstParagraph"/>
      </w:pPr>
      <w:r>
        <w:t xml:space="preserve">Payment is due within 30 days of the invoice date. Late payments may incur interest charges according to the current Central Bank of Argentina rates.</w:t>
      </w:r>
    </w:p>
    <w:p>
      <w:pPr>
        <w:pStyle w:val="BodyText"/>
      </w:pPr>
      <w:r>
        <w:rPr>
          <w:bCs/>
          <w:b/>
        </w:rPr>
        <w:t xml:space="preserve">Bank:</w:t>
      </w:r>
      <w:r>
        <w:t xml:space="preserve"> </w:t>
      </w:r>
      <w:r>
        <w:t xml:space="preserve">Banco Nación Argentina</w:t>
      </w:r>
    </w:p>
    <w:p>
      <w:pPr>
        <w:pStyle w:val="BodyText"/>
      </w:pPr>
      <w:r>
        <w:rPr>
          <w:bCs/>
          <w:b/>
        </w:rPr>
        <w:t xml:space="preserve">Account Name:</w:t>
      </w:r>
      <w:r>
        <w:t xml:space="preserve"> </w:t>
      </w:r>
      <w:r>
        <w:t xml:space="preserve">Studio Metropolitano S.R.L.</w:t>
      </w:r>
    </w:p>
    <w:p>
      <w:pPr>
        <w:pStyle w:val="BodyText"/>
      </w:pPr>
      <w:r>
        <w:rPr>
          <w:bCs/>
          <w:b/>
        </w:rPr>
        <w:t xml:space="preserve">CBU:</w:t>
      </w:r>
      <w:r>
        <w:t xml:space="preserve"> </w:t>
      </w:r>
      <w:r>
        <w:t xml:space="preserve">0110000000000000000000</w:t>
      </w:r>
    </w:p>
    <w:p>
      <w:pPr>
        <w:pStyle w:val="BodyText"/>
      </w:pPr>
      <w:r>
        <w:rPr>
          <w:bCs/>
          <w:b/>
        </w:rPr>
        <w:t xml:space="preserve">Alias:</w:t>
      </w:r>
      <w:r>
        <w:t xml:space="preserve"> </w:t>
      </w:r>
      <w:r>
        <w:t xml:space="preserve">ESTUDIO.ARQUITECTURA.PAGO</w:t>
      </w:r>
    </w:p>
    <w:p>
      <w:pPr>
        <w:pStyle w:val="BodyText"/>
      </w:pPr>
      <w:r>
        <w:t xml:space="preserve">Please reference Invoice #INV-2023-089 in the payment concept.</w:t>
      </w:r>
    </w:p>
    <w:bookmarkEnd w:id="23"/>
    <w:bookmarkStart w:id="24" w:name="professional-disclaimer"/>
    <w:p>
      <w:pPr>
        <w:pStyle w:val="Heading4"/>
      </w:pPr>
      <w:r>
        <w:t xml:space="preserve">Professional Disclaimer:</w:t>
      </w:r>
    </w:p>
    <w:p>
      <w:pPr>
        <w:pStyle w:val="FirstParagraph"/>
      </w:pPr>
      <w:r>
        <w:t xml:space="preserve">This invoice represents professional architectural services rendered in accordance with the laws of the Argentine Republic and the regulations of the Buenos Aires City Government. The architect acts as the client's agent in matters of design and construction oversight but does not assume liability for the workmanship of third-party contractors unless negligence in supervision is proven.</w:t>
      </w:r>
    </w:p>
    <w:bookmarkEnd w:id="24"/>
    <w:p>
      <w:pPr>
        <w:pStyle w:val="BodyText"/>
      </w:pPr>
      <w:r>
        <w:rPr>
          <w:bCs/>
          <w:b/>
        </w:rPr>
        <w:t xml:space="preserve">Legal Notice regarding Architectural Practice in Argentina:</w:t>
      </w:r>
      <w:r>
        <w:t xml:space="preserve"> </w:t>
      </w:r>
      <w:r>
        <w:t xml:space="preserve">The services detailed in this invoice are provided by a licensed architect registered with the Colegio de Arquitectos de la Ciudad Autónoma de Buenos Aires. All designs and documentation are protected by intellectual property rights. The use of these plans for construction purposes outside of the agreed scope or without proper authorization is prohibited. This document serves as a formal request for payment for professional services rendered in the jurisdiction of Buenos Aires, Argentina. The client acknowledges that the architectural fees are based on the complexity of the project, the time invested, and the professional responsibility assumed by the architect in ensuring compliance with local urban planning codes and safety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Architectural Services Invoice - Buenos Aires, Argentina</dc:title>
  <dc:creator/>
  <dc:language>en</dc:language>
  <cp:keywords/>
  <dcterms:created xsi:type="dcterms:W3CDTF">2026-10-10T02:49:17Z</dcterms:created>
  <dcterms:modified xsi:type="dcterms:W3CDTF">2026-10-10T02:49:17Z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