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yarra-valley-architectural-studio"/>
    <w:p>
      <w:pPr>
        <w:pStyle w:val="Heading1"/>
      </w:pPr>
      <w:r>
        <w:t xml:space="preserve">Yarra Valley Architectural Studio</w:t>
      </w:r>
    </w:p>
    <w:p>
      <w:pPr>
        <w:pStyle w:val="FirstParagraph"/>
      </w:pPr>
      <w:r>
        <w:t xml:space="preserve">Level 4, 120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Phone: +61 3 9000 0000</w:t>
      </w:r>
    </w:p>
    <w:p>
      <w:pPr>
        <w:pStyle w:val="BodyText"/>
      </w:pPr>
      <w:r>
        <w:t xml:space="preserve">Email: billing@yarravalleyarch.com.au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MV-RES-2023-08</w:t>
      </w:r>
    </w:p>
    <w:bookmarkEnd w:id="21"/>
    <w:bookmarkStart w:id="22" w:name="bill-to"/>
    <w:p>
      <w:pPr>
        <w:pStyle w:val="Heading3"/>
      </w:pPr>
      <w:r>
        <w:t xml:space="preserve">Bill To:</w:t>
      </w:r>
    </w:p>
    <w:p>
      <w:pPr>
        <w:pStyle w:val="FirstParagraph"/>
      </w:pPr>
      <w:r>
        <w:rPr>
          <w:bCs/>
          <w:b/>
        </w:rPr>
        <w:t xml:space="preserve">The Henderson Family Trust</w:t>
      </w:r>
    </w:p>
    <w:p>
      <w:pPr>
        <w:pStyle w:val="BodyText"/>
      </w:pPr>
      <w:r>
        <w:t xml:space="preserve">Attn: Mr. James Henderson</w:t>
      </w:r>
    </w:p>
    <w:p>
      <w:pPr>
        <w:pStyle w:val="BodyText"/>
      </w:pPr>
      <w:r>
        <w:t xml:space="preserve">45 Chapel Street</w:t>
      </w:r>
    </w:p>
    <w:p>
      <w:pPr>
        <w:pStyle w:val="BodyText"/>
      </w:pPr>
      <w:r>
        <w:t xml:space="preserve">South Yarra, VIC 3141</w:t>
      </w:r>
    </w:p>
    <w:p>
      <w:pPr>
        <w:pStyle w:val="BodyText"/>
      </w:pPr>
      <w:r>
        <w:t xml:space="preserve">Australia</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Phase 1: Pre-Design &amp; Feasibility Analysis</w:t>
            </w:r>
            <w:r>
              <w:br/>
            </w:r>
            <w:r>
              <w:t xml:space="preserve">Comprehensive site analysis of the South Yarra property. This includes topographical assessment, solar orientation studies specific to Melbourne's climate, and review of local council planning schemes (City of Stonnington). Consultation regarding heritage overlay constraints and preliminary budget estimation for the proposed renovation.</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Phase 2: Concept Design Development</w:t>
            </w:r>
            <w:r>
              <w:br/>
            </w:r>
            <w:r>
              <w:t xml:space="preserve">Development of initial architectural concepts including massing studies, floor plan layouts, and exterior elevations. Creation of 3D visualizations to assist in client decision-making. Two rounds of revisions based on client feedback. Focus on sustainable design principles and energy efficiency compliant with Australian Standards.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Phase 3: Planning Permit Documentation</w:t>
            </w:r>
            <w:r>
              <w:br/>
            </w:r>
            <w:r>
              <w:t xml:space="preserve">Preparation of detailed documentation required for submission to the local council in Melbourne. This includes scaled drawings, shadow diagrams, landscape plans, and a Design and Development Statement. Coordination with town planners to ensure compliance with the Victorian Planning Provisions (VPP).</w:t>
            </w:r>
          </w:p>
        </w:tc>
        <w:tc>
          <w:tcPr/>
          <w:p>
            <w:pPr>
              <w:pStyle w:val="Compact"/>
              <w:jc w:val="left"/>
            </w:pPr>
            <w:r>
              <w:t xml:space="preserve">35.0</w:t>
            </w:r>
          </w:p>
        </w:tc>
        <w:tc>
          <w:tcPr/>
          <w:p>
            <w:pPr>
              <w:pStyle w:val="Compact"/>
              <w:jc w:val="left"/>
            </w:pPr>
            <w:r>
              <w:t xml:space="preserve">250.00</w:t>
            </w:r>
          </w:p>
        </w:tc>
        <w:tc>
          <w:tcPr/>
          <w:p>
            <w:pPr>
              <w:pStyle w:val="Compact"/>
              <w:jc w:val="left"/>
            </w:pPr>
            <w:r>
              <w:t xml:space="preserve">8,750.00</w:t>
            </w:r>
          </w:p>
        </w:tc>
      </w:tr>
      <w:tr>
        <w:tc>
          <w:tcPr/>
          <w:p>
            <w:pPr>
              <w:pStyle w:val="Compact"/>
              <w:jc w:val="left"/>
            </w:pPr>
            <w:r>
              <w:rPr>
                <w:bCs/>
                <w:b/>
              </w:rPr>
              <w:t xml:space="preserve">Phase 4: Tender Documentation &amp; Specifications</w:t>
            </w:r>
            <w:r>
              <w:br/>
            </w:r>
            <w:r>
              <w:t xml:space="preserve">Compilation of comprehensive construction documents and technical specifications for builder tendering. Detailed architectural drawings including sections, details, and schedules. Coordination with structural and services engineers to integrate their designs into the architectural package.</w:t>
            </w:r>
          </w:p>
        </w:tc>
        <w:tc>
          <w:tcPr/>
          <w:p>
            <w:pPr>
              <w:pStyle w:val="Compact"/>
              <w:jc w:val="left"/>
            </w:pPr>
            <w:r>
              <w:t xml:space="preserve">50.0</w:t>
            </w:r>
          </w:p>
        </w:tc>
        <w:tc>
          <w:tcPr/>
          <w:p>
            <w:pPr>
              <w:pStyle w:val="Compact"/>
              <w:jc w:val="left"/>
            </w:pPr>
            <w:r>
              <w:t xml:space="preserve">250.00</w:t>
            </w:r>
          </w:p>
        </w:tc>
        <w:tc>
          <w:tcPr/>
          <w:p>
            <w:pPr>
              <w:pStyle w:val="Compact"/>
              <w:jc w:val="left"/>
            </w:pPr>
            <w:r>
              <w:t xml:space="preserve">12,500.00</w:t>
            </w:r>
          </w:p>
        </w:tc>
      </w:tr>
      <w:tr>
        <w:tc>
          <w:tcPr/>
          <w:p>
            <w:pPr>
              <w:pStyle w:val="Compact"/>
              <w:jc w:val="left"/>
            </w:pPr>
            <w:r>
              <w:rPr>
                <w:bCs/>
                <w:b/>
              </w:rPr>
              <w:t xml:space="preserve">Disbursements &amp; External Costs</w:t>
            </w:r>
            <w:r>
              <w:br/>
            </w:r>
            <w:r>
              <w:t xml:space="preserve">Costs incurred for third-party services including site survey fees, geotechnical report, and council application lodgement fees. These costs are passed through at cost price as per the architectural services agreement.</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w:t>
            </w:r>
          </w:p>
        </w:tc>
      </w:tr>
    </w:tbl>
    <w:p>
      <w:pPr>
        <w:pStyle w:val="BodyText"/>
      </w:pPr>
      <w:r>
        <w:t xml:space="preserve">Subtotal</w:t>
      </w:r>
      <w:r>
        <w:t xml:space="preserve"> </w:t>
      </w:r>
      <w:r>
        <w:t xml:space="preserve">$37,450.00</w:t>
      </w:r>
    </w:p>
    <w:p>
      <w:pPr>
        <w:pStyle w:val="BodyText"/>
      </w:pPr>
      <w:r>
        <w:t xml:space="preserve">GST (10%)</w:t>
      </w:r>
      <w:r>
        <w:t xml:space="preserve"> </w:t>
      </w:r>
      <w:r>
        <w:t xml:space="preserve">$3,745.00</w:t>
      </w:r>
    </w:p>
    <w:p>
      <w:pPr>
        <w:pStyle w:val="BodyText"/>
      </w:pPr>
      <w:r>
        <w:t xml:space="preserve">Total Due (AUD)</w:t>
      </w:r>
      <w:r>
        <w:t xml:space="preserve"> </w:t>
      </w:r>
      <w:r>
        <w:t xml:space="preserve">$41,195.00</w:t>
      </w:r>
    </w:p>
    <w:bookmarkStart w:id="23" w:name="payment-terms-conditions"/>
    <w:p>
      <w:pPr>
        <w:pStyle w:val="Heading4"/>
      </w:pPr>
      <w:r>
        <w:t xml:space="preserve">Payment Terms &amp; Conditions</w:t>
      </w:r>
    </w:p>
    <w:p>
      <w:pPr>
        <w:pStyle w:val="FirstParagraph"/>
      </w:pPr>
      <w:r>
        <w:t xml:space="preserve">Payment is due within 30 days of the invoice date. Please make payments via direct bank transfer to the account details below. Late payments may incur interest charges in accordance with the Victorian Commercial Tenancy Act and standard industry practices.</w:t>
      </w:r>
    </w:p>
    <w:p>
      <w:pPr>
        <w:pStyle w:val="BodyText"/>
      </w:pPr>
      <w:r>
        <w:rPr>
          <w:bCs/>
          <w:b/>
        </w:rPr>
        <w:t xml:space="preserve">Bank Details:</w:t>
      </w:r>
      <w:r>
        <w:br/>
      </w:r>
      <w:r>
        <w:t xml:space="preserve">Bank: National Australia Bank</w:t>
      </w:r>
      <w:r>
        <w:br/>
      </w:r>
      <w:r>
        <w:t xml:space="preserve">Account Name: Yarra Valley Architectural Studio Pty Ltd</w:t>
      </w:r>
      <w:r>
        <w:br/>
      </w:r>
      <w:r>
        <w:t xml:space="preserve">BSB: 082-001</w:t>
      </w:r>
      <w:r>
        <w:br/>
      </w:r>
      <w:r>
        <w:t xml:space="preserve">Account Number: 1234 5678</w:t>
      </w:r>
      <w:r>
        <w:br/>
      </w:r>
      <w:r>
        <w:t xml:space="preserve">Reference: INV-2023-10-45</w:t>
      </w:r>
    </w:p>
    <w:p>
      <w:pPr>
        <w:pStyle w:val="BodyText"/>
      </w:pPr>
      <w:r>
        <w:t xml:space="preserve">This invoice represents the professional fees for architectural services rendered in Melbourne, Australia. All designs are the intellectual property of Yarra Valley Architectural Studio until full payment is received. Please contact our accounts department if you have any questions regarding this invoice.</w:t>
      </w:r>
    </w:p>
    <w:bookmarkEnd w:id="23"/>
    <w:p>
      <w:pPr>
        <w:pStyle w:val="BodyText"/>
      </w:pPr>
      <w:r>
        <w:t xml:space="preserve">Yarra Valley Architectural Studio Pty Ltd | ABN 12 345 678 901 | Melbourne, Victoria, Australia</w:t>
      </w:r>
    </w:p>
    <w:p>
      <w:pPr>
        <w:pStyle w:val="BodyText"/>
      </w:pPr>
      <w:r>
        <w:t xml:space="preserve">Registered Architect with the Architects Registration Board of Victoria (ARBV)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Melbourne, Australia</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