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Architectural</w:t>
      </w:r>
      <w:r>
        <w:t xml:space="preserve"> </w:t>
      </w:r>
      <w:r>
        <w:t xml:space="preserve">Services</w:t>
      </w:r>
      <w:r>
        <w:t xml:space="preserve"> </w:t>
      </w:r>
      <w:r>
        <w:t xml:space="preserve">Invoice</w:t>
      </w:r>
      <w:r>
        <w:t xml:space="preserve"> </w:t>
      </w:r>
      <w:r>
        <w:t xml:space="preserve">-</w:t>
      </w:r>
      <w:r>
        <w:t xml:space="preserve"> </w:t>
      </w:r>
      <w:r>
        <w:t xml:space="preserve">Sydney,</w:t>
      </w:r>
      <w:r>
        <w:t xml:space="preserve"> </w:t>
      </w:r>
      <w:r>
        <w:t xml:space="preserve">Australia</w:t>
      </w:r>
    </w:p>
    <w:bookmarkStart w:id="20" w:name="harbour-view-architects"/>
    <w:p>
      <w:pPr>
        <w:pStyle w:val="Heading1"/>
      </w:pPr>
      <w:r>
        <w:t xml:space="preserve">Harbour View Architects</w:t>
      </w:r>
    </w:p>
    <w:p>
      <w:pPr>
        <w:pStyle w:val="FirstParagraph"/>
      </w:pPr>
      <w:r>
        <w:t xml:space="preserve">Level 12, 100 George Street</w:t>
      </w:r>
    </w:p>
    <w:p>
      <w:pPr>
        <w:pStyle w:val="BodyText"/>
      </w:pPr>
      <w:r>
        <w:t xml:space="preserve">Sydney NSW 2000, Australia</w:t>
      </w:r>
    </w:p>
    <w:p>
      <w:pPr>
        <w:pStyle w:val="BodyText"/>
      </w:pPr>
      <w:r>
        <w:t xml:space="preserve">ABN: 12 345 678 901</w:t>
      </w:r>
    </w:p>
    <w:p>
      <w:pPr>
        <w:pStyle w:val="BodyText"/>
      </w:pPr>
      <w:r>
        <w:t xml:space="preserve">Phone: +61 2 9000 0000</w:t>
      </w:r>
    </w:p>
    <w:p>
      <w:pPr>
        <w:pStyle w:val="BodyText"/>
      </w:pPr>
      <w:r>
        <w:t xml:space="preserve">Email: accounts@harbourviewarch.com.au</w:t>
      </w:r>
    </w:p>
    <w:bookmarkEnd w:id="20"/>
    <w:bookmarkStart w:id="21" w:name="invoice"/>
    <w:p>
      <w:pPr>
        <w:pStyle w:val="Heading2"/>
      </w:pPr>
      <w:r>
        <w:t xml:space="preserve">INVOICE</w:t>
      </w:r>
    </w:p>
    <w:p>
      <w:pPr>
        <w:pStyle w:val="FirstParagraph"/>
      </w:pPr>
      <w:r>
        <w:rPr>
          <w:bCs/>
          <w:b/>
        </w:rPr>
        <w:t xml:space="preserve">Invoice Number:</w:t>
      </w:r>
      <w:r>
        <w:t xml:space="preserve"> </w:t>
      </w:r>
      <w:r>
        <w:t xml:space="preserve">INV-2023-0892</w:t>
      </w:r>
    </w:p>
    <w:p>
      <w:pPr>
        <w:pStyle w:val="BodyText"/>
      </w:pPr>
      <w:r>
        <w:rPr>
          <w:bCs/>
          <w:b/>
        </w:rPr>
        <w:t xml:space="preserve">Date Issued:</w:t>
      </w:r>
      <w:r>
        <w:t xml:space="preserve"> </w:t>
      </w:r>
      <w:r>
        <w:t xml:space="preserve">24 October 2023</w:t>
      </w:r>
    </w:p>
    <w:p>
      <w:pPr>
        <w:pStyle w:val="BodyText"/>
      </w:pPr>
      <w:r>
        <w:rPr>
          <w:bCs/>
          <w:b/>
        </w:rPr>
        <w:t xml:space="preserve">Due Date:</w:t>
      </w:r>
      <w:r>
        <w:t xml:space="preserve"> </w:t>
      </w:r>
      <w:r>
        <w:t xml:space="preserve">24 November 2023</w:t>
      </w:r>
    </w:p>
    <w:p>
      <w:pPr>
        <w:pStyle w:val="BodyText"/>
      </w:pPr>
      <w:r>
        <w:rPr>
          <w:bCs/>
          <w:b/>
        </w:rPr>
        <w:t xml:space="preserve">Reference:</w:t>
      </w:r>
      <w:r>
        <w:t xml:space="preserve"> </w:t>
      </w:r>
      <w:r>
        <w:t xml:space="preserve">Project HV-2023-RES-04</w:t>
      </w:r>
    </w:p>
    <w:bookmarkEnd w:id="21"/>
    <w:bookmarkStart w:id="22" w:name="bill-to"/>
    <w:p>
      <w:pPr>
        <w:pStyle w:val="Heading3"/>
      </w:pPr>
      <w:r>
        <w:t xml:space="preserve">Bill To:</w:t>
      </w:r>
    </w:p>
    <w:p>
      <w:pPr>
        <w:pStyle w:val="FirstParagraph"/>
      </w:pPr>
      <w:r>
        <w:rPr>
          <w:bCs/>
          <w:b/>
        </w:rPr>
        <w:t xml:space="preserve">Mr. James &amp; Mrs. Sarah Thompson</w:t>
      </w:r>
      <w:r>
        <w:br/>
      </w:r>
      <w:r>
        <w:t xml:space="preserve">42 Oceanview Drive</w:t>
      </w:r>
      <w:r>
        <w:br/>
      </w:r>
      <w:r>
        <w:t xml:space="preserve">Bondi Beach NSW 2026</w:t>
      </w:r>
      <w:r>
        <w:br/>
      </w:r>
      <w:r>
        <w:t xml:space="preserve">Australia Sydney</w:t>
      </w:r>
      <w:r>
        <w:br/>
      </w:r>
      <w:r>
        <w:t xml:space="preserve">Email: j.thompson@email.com.au</w:t>
      </w:r>
    </w:p>
    <w:bookmarkEnd w:id="22"/>
    <w:bookmarkStart w:id="23" w:name="X1b72e1e4361b393d9450ec55651325051fcbcb6"/>
    <w:p>
      <w:pPr>
        <w:pStyle w:val="Heading4"/>
      </w:pPr>
      <w:r>
        <w:t xml:space="preserve">Project Scope: Residential Renovation &amp; Extension</w:t>
      </w:r>
    </w:p>
    <w:p>
      <w:pPr>
        <w:pStyle w:val="FirstParagraph"/>
      </w:pPr>
      <w:r>
        <w:t xml:space="preserve">This invoice covers professional architectural services rendered for the renovation and extension of the residential property located in Bondi Beach, Australia Sydney. The scope includes Stage 2: Design Development and Stage 3: Documentation for Construction. All services are provided in accordance with the Architectural Services Agreement dated 15 August 2023 and comply with the National Construction Code (NCC) and local Sydney Cove Council regulations.</w:t>
      </w:r>
    </w:p>
    <w:bookmarkEnd w:id="23"/>
    <w:tbl>
      <w:tblPr>
        <w:tblStyle w:val="Table"/>
        <w:tblW w:type="pct" w:w="5000"/>
        <w:tblLook w:firstRow="1" w:lastRow="0" w:firstColumn="0" w:lastColumn="0" w:noHBand="0" w:noVBand="0" w:val="0020"/>
      </w:tblPr>
      <w:tblGrid>
        <w:gridCol w:w="1584"/>
        <w:gridCol w:w="1584"/>
        <w:gridCol w:w="1584"/>
        <w:gridCol w:w="1584"/>
        <w:gridCol w:w="1584"/>
      </w:tblGrid>
      <w:tr>
        <w:trPr>
          <w:tblHeader w:val="true"/>
        </w:trPr>
        <w:tc>
          <w:tcPr/>
          <w:p>
            <w:pPr>
              <w:pStyle w:val="Compact"/>
              <w:jc w:val="left"/>
            </w:pPr>
            <w:r>
              <w:t xml:space="preserve">#</w:t>
            </w:r>
          </w:p>
        </w:tc>
        <w:tc>
          <w:tcPr/>
          <w:p>
            <w:pPr>
              <w:pStyle w:val="Compact"/>
              <w:jc w:val="left"/>
            </w:pPr>
            <w:r>
              <w:t xml:space="preserve">Description of Services</w:t>
            </w:r>
          </w:p>
        </w:tc>
        <w:tc>
          <w:tcPr/>
          <w:p>
            <w:pPr>
              <w:pStyle w:val="Compact"/>
              <w:jc w:val="left"/>
            </w:pPr>
            <w:r>
              <w:t xml:space="preserve">Hours / Qty</w:t>
            </w:r>
          </w:p>
        </w:tc>
        <w:tc>
          <w:tcPr/>
          <w:p>
            <w:pPr>
              <w:pStyle w:val="Compact"/>
              <w:jc w:val="left"/>
            </w:pPr>
            <w:r>
              <w:t xml:space="preserve">Rate (AUD)</w:t>
            </w:r>
          </w:p>
        </w:tc>
        <w:tc>
          <w:tcPr/>
          <w:p>
            <w:pPr>
              <w:pStyle w:val="Compact"/>
              <w:jc w:val="left"/>
            </w:pPr>
            <w:r>
              <w:t xml:space="preserve">Amount (AUD)</w:t>
            </w:r>
          </w:p>
        </w:tc>
      </w:tr>
      <w:tr>
        <w:tc>
          <w:tcPr/>
          <w:p>
            <w:pPr>
              <w:pStyle w:val="Compact"/>
              <w:jc w:val="left"/>
            </w:pPr>
            <w:r>
              <w:t xml:space="preserve">1</w:t>
            </w:r>
          </w:p>
        </w:tc>
        <w:tc>
          <w:tcPr/>
          <w:p>
            <w:pPr>
              <w:pStyle w:val="Compact"/>
              <w:jc w:val="left"/>
            </w:pPr>
            <w:r>
              <w:rPr>
                <w:bCs/>
                <w:b/>
              </w:rPr>
              <w:t xml:space="preserve">Design Development Consultation</w:t>
            </w:r>
            <w:r>
              <w:br/>
            </w:r>
            <w:r>
              <w:t xml:space="preserve">Review of client feedback on concept plans. Refinement of floor plans, elevations, and sections for the proposed extension. Coordination with structural engineer regarding load-bearing walls.</w:t>
            </w:r>
          </w:p>
        </w:tc>
        <w:tc>
          <w:tcPr/>
          <w:p>
            <w:pPr>
              <w:pStyle w:val="Compact"/>
              <w:jc w:val="left"/>
            </w:pPr>
            <w:r>
              <w:t xml:space="preserve">12.5</w:t>
            </w:r>
          </w:p>
        </w:tc>
        <w:tc>
          <w:tcPr/>
          <w:p>
            <w:pPr>
              <w:pStyle w:val="Compact"/>
              <w:jc w:val="left"/>
            </w:pPr>
            <w:r>
              <w:t xml:space="preserve">280.00</w:t>
            </w:r>
          </w:p>
        </w:tc>
        <w:tc>
          <w:tcPr/>
          <w:p>
            <w:pPr>
              <w:pStyle w:val="Compact"/>
              <w:jc w:val="left"/>
            </w:pPr>
            <w:r>
              <w:t xml:space="preserve">3,500.00</w:t>
            </w:r>
          </w:p>
        </w:tc>
      </w:tr>
      <w:tr>
        <w:tc>
          <w:tcPr/>
          <w:p>
            <w:pPr>
              <w:pStyle w:val="Compact"/>
              <w:jc w:val="left"/>
            </w:pPr>
            <w:r>
              <w:t xml:space="preserve">2</w:t>
            </w:r>
          </w:p>
        </w:tc>
        <w:tc>
          <w:tcPr/>
          <w:p>
            <w:pPr>
              <w:pStyle w:val="Compact"/>
              <w:jc w:val="left"/>
            </w:pPr>
            <w:r>
              <w:rPr>
                <w:bCs/>
                <w:b/>
              </w:rPr>
              <w:t xml:space="preserve">3D Visualisation &amp; Rendering</w:t>
            </w:r>
            <w:r>
              <w:br/>
            </w:r>
            <w:r>
              <w:t xml:space="preserve">Production of high-resolution photorealistic renderings for the exterior façade and interior living spaces to assist with council approval and client visualization.</w:t>
            </w:r>
          </w:p>
        </w:tc>
        <w:tc>
          <w:tcPr/>
          <w:p>
            <w:pPr>
              <w:pStyle w:val="Compact"/>
              <w:jc w:val="left"/>
            </w:pPr>
            <w:r>
              <w:t xml:space="preserve">1</w:t>
            </w:r>
          </w:p>
        </w:tc>
        <w:tc>
          <w:tcPr/>
          <w:p>
            <w:pPr>
              <w:pStyle w:val="Compact"/>
              <w:jc w:val="left"/>
            </w:pPr>
            <w:r>
              <w:t xml:space="preserve">2,200.00</w:t>
            </w:r>
          </w:p>
        </w:tc>
        <w:tc>
          <w:tcPr/>
          <w:p>
            <w:pPr>
              <w:pStyle w:val="Compact"/>
              <w:jc w:val="left"/>
            </w:pPr>
            <w:r>
              <w:t xml:space="preserve">2,200.00</w:t>
            </w:r>
          </w:p>
        </w:tc>
      </w:tr>
      <w:tr>
        <w:tc>
          <w:tcPr/>
          <w:p>
            <w:pPr>
              <w:pStyle w:val="Compact"/>
              <w:jc w:val="left"/>
            </w:pPr>
            <w:r>
              <w:t xml:space="preserve">3</w:t>
            </w:r>
          </w:p>
        </w:tc>
        <w:tc>
          <w:tcPr/>
          <w:p>
            <w:pPr>
              <w:pStyle w:val="Compact"/>
              <w:jc w:val="left"/>
            </w:pPr>
            <w:r>
              <w:rPr>
                <w:bCs/>
                <w:b/>
              </w:rPr>
              <w:t xml:space="preserve">Documentation for Construction (Stage 3)</w:t>
            </w:r>
            <w:r>
              <w:br/>
            </w:r>
            <w:r>
              <w:t xml:space="preserve">Preparation of detailed architectural drawings including specifications, schedules, and details required for tendering. Compliance with Australian Standards (AS) and BCA requirements.</w:t>
            </w:r>
          </w:p>
        </w:tc>
        <w:tc>
          <w:tcPr/>
          <w:p>
            <w:pPr>
              <w:pStyle w:val="Compact"/>
              <w:jc w:val="left"/>
            </w:pPr>
            <w:r>
              <w:t xml:space="preserve">45.0</w:t>
            </w:r>
          </w:p>
        </w:tc>
        <w:tc>
          <w:tcPr/>
          <w:p>
            <w:pPr>
              <w:pStyle w:val="Compact"/>
              <w:jc w:val="left"/>
            </w:pPr>
            <w:r>
              <w:t xml:space="preserve">280.00</w:t>
            </w:r>
          </w:p>
        </w:tc>
        <w:tc>
          <w:tcPr/>
          <w:p>
            <w:pPr>
              <w:pStyle w:val="Compact"/>
              <w:jc w:val="left"/>
            </w:pPr>
            <w:r>
              <w:t xml:space="preserve">12,600.00</w:t>
            </w:r>
          </w:p>
        </w:tc>
      </w:tr>
      <w:tr>
        <w:tc>
          <w:tcPr/>
          <w:p>
            <w:pPr>
              <w:pStyle w:val="Compact"/>
              <w:jc w:val="left"/>
            </w:pPr>
            <w:r>
              <w:t xml:space="preserve">4</w:t>
            </w:r>
          </w:p>
        </w:tc>
        <w:tc>
          <w:tcPr/>
          <w:p>
            <w:pPr>
              <w:pStyle w:val="Compact"/>
              <w:jc w:val="left"/>
            </w:pPr>
            <w:r>
              <w:rPr>
                <w:bCs/>
                <w:b/>
              </w:rPr>
              <w:t xml:space="preserve">Local Authority Submission</w:t>
            </w:r>
            <w:r>
              <w:br/>
            </w:r>
            <w:r>
              <w:t xml:space="preserve">Lodgement of Development Application (DA) with the local council in Australia Sydney. Preparation of required forms, environmental impact statements, and shadow diagrams.</w:t>
            </w:r>
          </w:p>
        </w:tc>
        <w:tc>
          <w:tcPr/>
          <w:p>
            <w:pPr>
              <w:pStyle w:val="Compact"/>
              <w:jc w:val="left"/>
            </w:pPr>
            <w:r>
              <w:t xml:space="preserve">8.0</w:t>
            </w:r>
          </w:p>
        </w:tc>
        <w:tc>
          <w:tcPr/>
          <w:p>
            <w:pPr>
              <w:pStyle w:val="Compact"/>
              <w:jc w:val="left"/>
            </w:pPr>
            <w:r>
              <w:t xml:space="preserve">280.00</w:t>
            </w:r>
          </w:p>
        </w:tc>
        <w:tc>
          <w:tcPr/>
          <w:p>
            <w:pPr>
              <w:pStyle w:val="Compact"/>
              <w:jc w:val="left"/>
            </w:pPr>
            <w:r>
              <w:t xml:space="preserve">2,240.00</w:t>
            </w:r>
          </w:p>
        </w:tc>
      </w:tr>
      <w:tr>
        <w:tc>
          <w:tcPr/>
          <w:p>
            <w:pPr>
              <w:pStyle w:val="Compact"/>
              <w:jc w:val="left"/>
            </w:pPr>
            <w:r>
              <w:t xml:space="preserve">5</w:t>
            </w:r>
          </w:p>
        </w:tc>
        <w:tc>
          <w:tcPr/>
          <w:p>
            <w:pPr>
              <w:pStyle w:val="Compact"/>
              <w:jc w:val="left"/>
            </w:pPr>
            <w:r>
              <w:rPr>
                <w:bCs/>
                <w:b/>
              </w:rPr>
              <w:t xml:space="preserve">Site Visit &amp; Survey Review</w:t>
            </w:r>
            <w:r>
              <w:br/>
            </w:r>
            <w:r>
              <w:t xml:space="preserve">On-site inspection to verify existing conditions against survey data. Coordination with quantity surveyor for cost estimation alignment.</w:t>
            </w:r>
          </w:p>
        </w:tc>
        <w:tc>
          <w:tcPr/>
          <w:p>
            <w:pPr>
              <w:pStyle w:val="Compact"/>
              <w:jc w:val="left"/>
            </w:pPr>
            <w:r>
              <w:t xml:space="preserve">4.0</w:t>
            </w:r>
          </w:p>
        </w:tc>
        <w:tc>
          <w:tcPr/>
          <w:p>
            <w:pPr>
              <w:pStyle w:val="Compact"/>
              <w:jc w:val="left"/>
            </w:pPr>
            <w:r>
              <w:t xml:space="preserve">280.00</w:t>
            </w:r>
          </w:p>
        </w:tc>
        <w:tc>
          <w:tcPr/>
          <w:p>
            <w:pPr>
              <w:pStyle w:val="Compact"/>
              <w:jc w:val="left"/>
            </w:pPr>
            <w:r>
              <w:t xml:space="preserve">1,120.00</w:t>
            </w:r>
          </w:p>
        </w:tc>
      </w:tr>
      <w:tr>
        <w:tc>
          <w:tcPr/>
          <w:p>
            <w:pPr>
              <w:pStyle w:val="Compact"/>
              <w:jc w:val="left"/>
            </w:pPr>
            <w:r>
              <w:t xml:space="preserve">6</w:t>
            </w:r>
          </w:p>
        </w:tc>
        <w:tc>
          <w:tcPr/>
          <w:p>
            <w:pPr>
              <w:pStyle w:val="Compact"/>
              <w:jc w:val="left"/>
            </w:pPr>
            <w:r>
              <w:rPr>
                <w:bCs/>
                <w:b/>
              </w:rPr>
              <w:t xml:space="preserve">Administrative &amp; Communication</w:t>
            </w:r>
            <w:r>
              <w:br/>
            </w:r>
            <w:r>
              <w:t xml:space="preserve">Email correspondence, phone consultations, and document management related to the project timeline and approvals.</w:t>
            </w:r>
          </w:p>
        </w:tc>
        <w:tc>
          <w:tcPr/>
          <w:p>
            <w:pPr>
              <w:pStyle w:val="Compact"/>
              <w:jc w:val="left"/>
            </w:pPr>
            <w:r>
              <w:t xml:space="preserve">5.5</w:t>
            </w:r>
          </w:p>
        </w:tc>
        <w:tc>
          <w:tcPr/>
          <w:p>
            <w:pPr>
              <w:pStyle w:val="Compact"/>
              <w:jc w:val="left"/>
            </w:pPr>
            <w:r>
              <w:t xml:space="preserve">200.00</w:t>
            </w:r>
          </w:p>
        </w:tc>
        <w:tc>
          <w:tcPr/>
          <w:p>
            <w:pPr>
              <w:pStyle w:val="Compact"/>
              <w:jc w:val="left"/>
            </w:pPr>
            <w:r>
              <w:t xml:space="preserve">1,100.00</w:t>
            </w:r>
          </w:p>
        </w:tc>
      </w:tr>
    </w:tbl>
    <w:tbl>
      <w:tblPr>
        <w:tblStyle w:val="Table"/>
        <w:tblW w:type="auto" w:w="0"/>
        <w:tblLook w:firstRow="0" w:lastRow="0" w:firstColumn="0" w:lastColumn="0" w:noHBand="0" w:noVBand="0" w:val="0000"/>
      </w:tblPr>
      <w:tblGrid>
        <w:gridCol w:w="3960"/>
        <w:gridCol w:w="3960"/>
      </w:tblGrid>
      <w:tr>
        <w:tc>
          <w:tcPr/>
          <w:p>
            <w:pPr>
              <w:pStyle w:val="Compact"/>
              <w:jc w:val="left"/>
            </w:pPr>
            <w:r>
              <w:t xml:space="preserve">Subtotal</w:t>
            </w:r>
          </w:p>
        </w:tc>
        <w:tc>
          <w:tcPr/>
          <w:p>
            <w:pPr>
              <w:pStyle w:val="Compact"/>
              <w:jc w:val="left"/>
            </w:pPr>
            <w:r>
              <w:t xml:space="preserve">22,760.00</w:t>
            </w:r>
          </w:p>
        </w:tc>
      </w:tr>
      <w:tr>
        <w:tc>
          <w:tcPr/>
          <w:p>
            <w:pPr>
              <w:pStyle w:val="Compact"/>
              <w:jc w:val="left"/>
            </w:pPr>
            <w:r>
              <w:t xml:space="preserve">GST (10%)</w:t>
            </w:r>
          </w:p>
        </w:tc>
        <w:tc>
          <w:tcPr/>
          <w:p>
            <w:pPr>
              <w:pStyle w:val="Compact"/>
              <w:jc w:val="left"/>
            </w:pPr>
            <w:r>
              <w:t xml:space="preserve">2,276.00</w:t>
            </w:r>
          </w:p>
        </w:tc>
      </w:tr>
      <w:tr>
        <w:tc>
          <w:tcPr/>
          <w:p>
            <w:pPr>
              <w:pStyle w:val="Compact"/>
              <w:jc w:val="left"/>
            </w:pPr>
            <w:r>
              <w:t xml:space="preserve">Total Due (AUD)</w:t>
            </w:r>
          </w:p>
        </w:tc>
        <w:tc>
          <w:tcPr/>
          <w:p>
            <w:pPr>
              <w:pStyle w:val="Compact"/>
              <w:jc w:val="left"/>
            </w:pPr>
            <w:r>
              <w:t xml:space="preserve">25,036.00</w:t>
            </w:r>
          </w:p>
        </w:tc>
      </w:tr>
    </w:tbl>
    <w:bookmarkStart w:id="24" w:name="payment-terms-conditions"/>
    <w:p>
      <w:pPr>
        <w:pStyle w:val="Heading4"/>
      </w:pPr>
      <w:r>
        <w:t xml:space="preserve">Payment Terms &amp; Conditions</w:t>
      </w:r>
    </w:p>
    <w:p>
      <w:pPr>
        <w:pStyle w:val="FirstParagraph"/>
      </w:pPr>
      <w:r>
        <w:rPr>
          <w:bCs/>
          <w:b/>
        </w:rPr>
        <w:t xml:space="preserve">1. Payment Due Date:</w:t>
      </w:r>
      <w:r>
        <w:t xml:space="preserve"> </w:t>
      </w:r>
      <w:r>
        <w:t xml:space="preserve">Payment is due within 30 days of the invoice date. Late payments may incur interest charges at the rate of 10% per annum in accordance with the Trade Practices Act.</w:t>
      </w:r>
    </w:p>
    <w:p>
      <w:pPr>
        <w:pStyle w:val="BodyText"/>
      </w:pPr>
      <w:r>
        <w:rPr>
          <w:bCs/>
          <w:b/>
        </w:rPr>
        <w:t xml:space="preserve">2. Bank Transfer Details:</w:t>
      </w:r>
      <w:r>
        <w:br/>
      </w:r>
      <w:r>
        <w:t xml:space="preserve">Bank Name: Commonwealth Bank of Australia</w:t>
      </w:r>
      <w:r>
        <w:br/>
      </w:r>
      <w:r>
        <w:t xml:space="preserve">Account Name: Harbour View Architects Pty Ltd</w:t>
      </w:r>
      <w:r>
        <w:br/>
      </w:r>
      <w:r>
        <w:t xml:space="preserve">BSB: 062-000</w:t>
      </w:r>
      <w:r>
        <w:br/>
      </w:r>
      <w:r>
        <w:t xml:space="preserve">Account Number: 1234 5678</w:t>
      </w:r>
      <w:r>
        <w:br/>
      </w:r>
      <w:r>
        <w:t xml:space="preserve">Reference: INV-2023-0892</w:t>
      </w:r>
    </w:p>
    <w:p>
      <w:pPr>
        <w:pStyle w:val="BodyText"/>
      </w:pPr>
      <w:r>
        <w:rPr>
          <w:bCs/>
          <w:b/>
        </w:rPr>
        <w:t xml:space="preserve">3. GST Compliance:</w:t>
      </w:r>
      <w:r>
        <w:t xml:space="preserve"> </w:t>
      </w:r>
      <w:r>
        <w:t xml:space="preserve">This invoice includes Goods and Services Tax (GST) as required by the Australian Taxation Office (ATO). Our ABN is registered for GST purposes.</w:t>
      </w:r>
    </w:p>
    <w:p>
      <w:pPr>
        <w:pStyle w:val="BodyText"/>
      </w:pPr>
      <w:r>
        <w:rPr>
          <w:bCs/>
          <w:b/>
        </w:rPr>
        <w:t xml:space="preserve">4. Intellectual Property:</w:t>
      </w:r>
      <w:r>
        <w:t xml:space="preserve"> </w:t>
      </w:r>
      <w:r>
        <w:t xml:space="preserve">All architectural drawings, designs, and documents remain the intellectual property of Harbour View Architects until full payment is received. Upon payment, limited license is granted for the construction of the specific project in Australia Sydney.</w:t>
      </w:r>
    </w:p>
    <w:p>
      <w:pPr>
        <w:pStyle w:val="BodyText"/>
      </w:pPr>
      <w:r>
        <w:rPr>
          <w:bCs/>
          <w:b/>
        </w:rPr>
        <w:t xml:space="preserve">5. Disputes:</w:t>
      </w:r>
      <w:r>
        <w:t xml:space="preserve"> </w:t>
      </w:r>
      <w:r>
        <w:t xml:space="preserve">Any disputes regarding this invoice must be raised in writing within 7 days of receipt. Services will continue unless formally suspended by mutual agreement.</w:t>
      </w:r>
    </w:p>
    <w:bookmarkEnd w:id="24"/>
    <w:p>
      <w:pPr>
        <w:pStyle w:val="BodyText"/>
      </w:pPr>
      <w:r>
        <w:rPr>
          <w:bCs/>
          <w:b/>
        </w:rPr>
        <w:t xml:space="preserve">Authorised By:</w:t>
      </w:r>
      <w:r>
        <w:br/>
      </w:r>
      <w:r>
        <w:t xml:space="preserve">Michael Chen, Principal Architect</w:t>
      </w:r>
      <w:r>
        <w:br/>
      </w:r>
      <w:r>
        <w:t xml:space="preserve">Harbour View Architects</w:t>
      </w:r>
    </w:p>
    <w:p>
      <w:pPr>
        <w:pStyle w:val="BodyText"/>
      </w:pPr>
      <w:r>
        <w:rPr>
          <w:bCs/>
          <w:b/>
        </w:rPr>
        <w:t xml:space="preserve">Accepted By:</w:t>
      </w:r>
      <w:r>
        <w:br/>
      </w:r>
      <w:r>
        <w:t xml:space="preserve">(Client Signature)</w:t>
      </w:r>
      <w:r>
        <w:br/>
      </w:r>
      <w:r>
        <w:t xml:space="preserve">Date: _______________</w:t>
      </w:r>
    </w:p>
    <w:p>
      <w:pPr>
        <w:pStyle w:val="BodyText"/>
      </w:pPr>
      <w:r>
        <w:t xml:space="preserve">Thank you for choosing Harbour View Architects for your project in Australia Sydney. We are committed to delivering exceptional design solutions that enhance the built environment.</w:t>
      </w:r>
    </w:p>
    <w:p>
      <w:pPr>
        <w:pStyle w:val="BodyText"/>
      </w:pPr>
      <w:r>
        <w:t xml:space="preserve">This is a computer-generated invoice and does not require a physical signature. For queries, please contact our accounts department.</w:t>
      </w:r>
    </w:p>
    <w:p>
      <w:pPr>
        <w:pStyle w:val="BodyText"/>
      </w:pPr>
      <w:r>
        <w:t xml:space="preserve">© 2023 Harbour View Architects Pty Ltd.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Architectural Services Invoice - Sydney, Australia</dc:title>
  <dc:creator/>
  <dc:language>en</dc:language>
  <cp:keywords/>
  <dcterms:created xsi:type="dcterms:W3CDTF">2026-10-10T10:20:10Z</dcterms:created>
  <dcterms:modified xsi:type="dcterms:W3CDTF">2026-10-10T10:20:10Z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