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Brussels,</w:t>
      </w:r>
      <w:r>
        <w:t xml:space="preserve"> </w:t>
      </w:r>
      <w:r>
        <w:t xml:space="preserve">Belgium</w:t>
      </w:r>
    </w:p>
    <w:bookmarkStart w:id="20" w:name="brussels-urban-design-architects"/>
    <w:p>
      <w:pPr>
        <w:pStyle w:val="Heading1"/>
      </w:pPr>
      <w:r>
        <w:t xml:space="preserve">Brussels Urban Design Architects</w:t>
      </w:r>
    </w:p>
    <w:p>
      <w:pPr>
        <w:pStyle w:val="FirstParagraph"/>
      </w:pPr>
      <w:r>
        <w:t xml:space="preserve">Professional Architectural Services</w:t>
      </w:r>
    </w:p>
    <w:p>
      <w:pPr>
        <w:pStyle w:val="BodyText"/>
      </w:pPr>
      <w:r>
        <w:t xml:space="preserve">Address: Avenue Louise 250, 1050 Brussels, Belgium</w:t>
      </w:r>
    </w:p>
    <w:p>
      <w:pPr>
        <w:pStyle w:val="BodyText"/>
      </w:pPr>
      <w:r>
        <w:t xml:space="preserve">Email: billing@brusselsurban.be | Phone: +32 2 555 0199</w:t>
      </w:r>
    </w:p>
    <w:p>
      <w:pPr>
        <w:pStyle w:val="BodyText"/>
      </w:pPr>
      <w:r>
        <w:t xml:space="preserve">Enterprise Number (KBO/BCE): BE 0891.234.567</w:t>
      </w:r>
    </w:p>
    <w:p>
      <w:pPr>
        <w:pStyle w:val="BodyText"/>
      </w:pPr>
      <w:r>
        <w:t xml:space="preserve">VAT Number: BE 0891.234.567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RENOVATION-IXEL-2023</w:t>
      </w:r>
    </w:p>
    <w:bookmarkEnd w:id="21"/>
    <w:bookmarkStart w:id="22" w:name="bill-to-client"/>
    <w:p>
      <w:pPr>
        <w:pStyle w:val="Heading3"/>
      </w:pPr>
      <w:r>
        <w:t xml:space="preserve">Bill To (Client)</w:t>
      </w:r>
    </w:p>
    <w:p>
      <w:pPr>
        <w:pStyle w:val="FirstParagraph"/>
      </w:pPr>
      <w:r>
        <w:rPr>
          <w:bCs/>
          <w:b/>
        </w:rPr>
        <w:t xml:space="preserve">M. Jean-Pierre Dubois</w:t>
      </w:r>
    </w:p>
    <w:p>
      <w:pPr>
        <w:pStyle w:val="BodyText"/>
      </w:pPr>
      <w:r>
        <w:t xml:space="preserve">Rue de la Loi 155, Apt 4B</w:t>
      </w:r>
    </w:p>
    <w:p>
      <w:pPr>
        <w:pStyle w:val="BodyText"/>
      </w:pPr>
      <w:r>
        <w:t xml:space="preserve">1040 Brussels, Belgium</w:t>
      </w:r>
    </w:p>
    <w:p>
      <w:pPr>
        <w:pStyle w:val="BodyText"/>
      </w:pPr>
      <w:r>
        <w:t xml:space="preserve">VAT Number: BE 0456.789.012</w:t>
      </w:r>
    </w:p>
    <w:bookmarkEnd w:id="22"/>
    <w:bookmarkStart w:id="23" w:name="project-location"/>
    <w:p>
      <w:pPr>
        <w:pStyle w:val="Heading3"/>
      </w:pPr>
      <w:r>
        <w:t xml:space="preserve">Project Location</w:t>
      </w:r>
    </w:p>
    <w:p>
      <w:pPr>
        <w:pStyle w:val="FirstParagraph"/>
      </w:pPr>
      <w:r>
        <w:rPr>
          <w:bCs/>
          <w:b/>
        </w:rPr>
        <w:t xml:space="preserve">Residential Renovation Project</w:t>
      </w:r>
    </w:p>
    <w:p>
      <w:pPr>
        <w:pStyle w:val="BodyText"/>
      </w:pPr>
      <w:r>
        <w:t xml:space="preserve">Chaussée d'Ixelles 112</w:t>
      </w:r>
    </w:p>
    <w:p>
      <w:pPr>
        <w:pStyle w:val="BodyText"/>
      </w:pPr>
      <w:r>
        <w:t xml:space="preserve">1050 Ixelles, Brussels, Belgium</w:t>
      </w:r>
    </w:p>
    <w:p>
      <w:pPr>
        <w:pStyle w:val="BodyText"/>
      </w:pPr>
      <w:r>
        <w:t xml:space="preserve">Permit Reference: BRU-2023-PL-8892</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Phase 1: Preliminary Design &amp; Feasibility Study</w:t>
            </w:r>
            <w:r>
              <w:br/>
            </w:r>
            <w:r>
              <w:t xml:space="preserve">Comprehensive site analysis of the Brussels property, including zoning regulations review specific to the City of Brussels municipality. Initial concept sketches and massing studies to align with local heritage guidelines.</w:t>
            </w:r>
          </w:p>
        </w:tc>
        <w:tc>
          <w:tcPr/>
          <w:p>
            <w:pPr>
              <w:pStyle w:val="Compact"/>
              <w:jc w:val="left"/>
            </w:pPr>
            <w:r>
              <w:t xml:space="preserve">40.0</w:t>
            </w:r>
          </w:p>
        </w:tc>
        <w:tc>
          <w:tcPr/>
          <w:p>
            <w:pPr>
              <w:pStyle w:val="Compact"/>
              <w:jc w:val="left"/>
            </w:pPr>
            <w:r>
              <w:t xml:space="preserve">180.00</w:t>
            </w:r>
          </w:p>
        </w:tc>
        <w:tc>
          <w:tcPr/>
          <w:p>
            <w:pPr>
              <w:pStyle w:val="Compact"/>
              <w:jc w:val="left"/>
            </w:pPr>
            <w:r>
              <w:t xml:space="preserve">7,200.00</w:t>
            </w:r>
          </w:p>
        </w:tc>
      </w:tr>
      <w:tr>
        <w:tc>
          <w:tcPr/>
          <w:p>
            <w:pPr>
              <w:pStyle w:val="Compact"/>
              <w:jc w:val="left"/>
            </w:pPr>
            <w:r>
              <w:rPr>
                <w:bCs/>
                <w:b/>
              </w:rPr>
              <w:t xml:space="preserve">Phase 2: Schematic Design Development</w:t>
            </w:r>
            <w:r>
              <w:br/>
            </w:r>
            <w:r>
              <w:t xml:space="preserve">Development of floor plans, elevations, and sections. Coordination with structural engineers regarding the existing masonry structure. Selection of sustainable materials compliant with Belgian energy standards.</w:t>
            </w:r>
          </w:p>
        </w:tc>
        <w:tc>
          <w:tcPr/>
          <w:p>
            <w:pPr>
              <w:pStyle w:val="Compact"/>
              <w:jc w:val="left"/>
            </w:pPr>
            <w:r>
              <w:t xml:space="preserve">65.0</w:t>
            </w:r>
          </w:p>
        </w:tc>
        <w:tc>
          <w:tcPr/>
          <w:p>
            <w:pPr>
              <w:pStyle w:val="Compact"/>
              <w:jc w:val="left"/>
            </w:pPr>
            <w:r>
              <w:t xml:space="preserve">180.00</w:t>
            </w:r>
          </w:p>
        </w:tc>
        <w:tc>
          <w:tcPr/>
          <w:p>
            <w:pPr>
              <w:pStyle w:val="Compact"/>
              <w:jc w:val="left"/>
            </w:pPr>
            <w:r>
              <w:t xml:space="preserve">11,700.00</w:t>
            </w:r>
          </w:p>
        </w:tc>
      </w:tr>
      <w:tr>
        <w:tc>
          <w:tcPr/>
          <w:p>
            <w:pPr>
              <w:pStyle w:val="Compact"/>
              <w:jc w:val="left"/>
            </w:pPr>
            <w:r>
              <w:rPr>
                <w:bCs/>
                <w:b/>
              </w:rPr>
              <w:t xml:space="preserve">Phase 3: Building Permit Documentation</w:t>
            </w:r>
            <w:r>
              <w:br/>
            </w:r>
            <w:r>
              <w:t xml:space="preserve">Preparation of the full dossier for submission to the Brussels Urban Planning Department. Includes detailed drawings, energy performance calculations (EPC), and environmental impact assessment required for Brussels permits.</w:t>
            </w:r>
          </w:p>
        </w:tc>
        <w:tc>
          <w:tcPr/>
          <w:p>
            <w:pPr>
              <w:pStyle w:val="Compact"/>
              <w:jc w:val="left"/>
            </w:pPr>
            <w:r>
              <w:t xml:space="preserve">80.0</w:t>
            </w:r>
          </w:p>
        </w:tc>
        <w:tc>
          <w:tcPr/>
          <w:p>
            <w:pPr>
              <w:pStyle w:val="Compact"/>
              <w:jc w:val="left"/>
            </w:pPr>
            <w:r>
              <w:t xml:space="preserve">180.00</w:t>
            </w:r>
          </w:p>
        </w:tc>
        <w:tc>
          <w:tcPr/>
          <w:p>
            <w:pPr>
              <w:pStyle w:val="Compact"/>
              <w:jc w:val="left"/>
            </w:pPr>
            <w:r>
              <w:t xml:space="preserve">14,400.00</w:t>
            </w:r>
          </w:p>
        </w:tc>
      </w:tr>
      <w:tr>
        <w:tc>
          <w:tcPr/>
          <w:p>
            <w:pPr>
              <w:pStyle w:val="Compact"/>
              <w:jc w:val="left"/>
            </w:pPr>
            <w:r>
              <w:rPr>
                <w:bCs/>
                <w:b/>
              </w:rPr>
              <w:t xml:space="preserve">Phase 4: Construction Documentation</w:t>
            </w:r>
            <w:r>
              <w:br/>
            </w:r>
            <w:r>
              <w:t xml:space="preserve">Creation of technical drawings for contractors, including MEP coordination, facade details, and interior finishes. Ensuring compliance with the Belgian Building Code and fire safety regulations.</w:t>
            </w:r>
          </w:p>
        </w:tc>
        <w:tc>
          <w:tcPr/>
          <w:p>
            <w:pPr>
              <w:pStyle w:val="Compact"/>
              <w:jc w:val="left"/>
            </w:pPr>
            <w:r>
              <w:t xml:space="preserve">120.0</w:t>
            </w:r>
          </w:p>
        </w:tc>
        <w:tc>
          <w:tcPr/>
          <w:p>
            <w:pPr>
              <w:pStyle w:val="Compact"/>
              <w:jc w:val="left"/>
            </w:pPr>
            <w:r>
              <w:t xml:space="preserve">180.00</w:t>
            </w:r>
          </w:p>
        </w:tc>
        <w:tc>
          <w:tcPr/>
          <w:p>
            <w:pPr>
              <w:pStyle w:val="Compact"/>
              <w:jc w:val="left"/>
            </w:pPr>
            <w:r>
              <w:t xml:space="preserve">21,600.00</w:t>
            </w:r>
          </w:p>
        </w:tc>
      </w:tr>
      <w:tr>
        <w:tc>
          <w:tcPr/>
          <w:p>
            <w:pPr>
              <w:pStyle w:val="Compact"/>
              <w:jc w:val="left"/>
            </w:pPr>
            <w:r>
              <w:rPr>
                <w:bCs/>
                <w:b/>
              </w:rPr>
              <w:t xml:space="preserve">Phase 5: Site Supervision &amp; Quality Control</w:t>
            </w:r>
            <w:r>
              <w:br/>
            </w:r>
            <w:r>
              <w:t xml:space="preserve">Regular site visits to monitor construction progress, verify adherence to architectural plans, and coordinate with subcontractors. Monthly progress reports submitted to the client.</w:t>
            </w:r>
          </w:p>
        </w:tc>
        <w:tc>
          <w:tcPr/>
          <w:p>
            <w:pPr>
              <w:pStyle w:val="Compact"/>
              <w:jc w:val="left"/>
            </w:pPr>
            <w:r>
              <w:t xml:space="preserve">50.0</w:t>
            </w:r>
          </w:p>
        </w:tc>
        <w:tc>
          <w:tcPr/>
          <w:p>
            <w:pPr>
              <w:pStyle w:val="Compact"/>
              <w:jc w:val="left"/>
            </w:pPr>
            <w:r>
              <w:t xml:space="preserve">180.00</w:t>
            </w:r>
          </w:p>
        </w:tc>
        <w:tc>
          <w:tcPr/>
          <w:p>
            <w:pPr>
              <w:pStyle w:val="Compact"/>
              <w:jc w:val="left"/>
            </w:pPr>
            <w:r>
              <w:t xml:space="preserve">9,000.00</w:t>
            </w:r>
          </w:p>
        </w:tc>
      </w:tr>
      <w:tr>
        <w:tc>
          <w:tcPr/>
          <w:p>
            <w:pPr>
              <w:pStyle w:val="Compact"/>
              <w:jc w:val="left"/>
            </w:pPr>
            <w:r>
              <w:rPr>
                <w:bCs/>
                <w:b/>
              </w:rPr>
              <w:t xml:space="preserve">Consultation &amp; Client Meetings</w:t>
            </w:r>
            <w:r>
              <w:br/>
            </w:r>
            <w:r>
              <w:t xml:space="preserve">Strategic meetings held in Brussels to discuss design iterations, budget adjustments, and timeline management. Includes virtual and in-person consultations.</w:t>
            </w:r>
          </w:p>
        </w:tc>
        <w:tc>
          <w:tcPr/>
          <w:p>
            <w:pPr>
              <w:pStyle w:val="Compact"/>
              <w:jc w:val="left"/>
            </w:pPr>
            <w:r>
              <w:t xml:space="preserve">15.0</w:t>
            </w:r>
          </w:p>
        </w:tc>
        <w:tc>
          <w:tcPr/>
          <w:p>
            <w:pPr>
              <w:pStyle w:val="Compact"/>
              <w:jc w:val="left"/>
            </w:pPr>
            <w:r>
              <w:t xml:space="preserve">180.00</w:t>
            </w:r>
          </w:p>
        </w:tc>
        <w:tc>
          <w:tcPr/>
          <w:p>
            <w:pPr>
              <w:pStyle w:val="Compact"/>
              <w:jc w:val="left"/>
            </w:pPr>
            <w:r>
              <w:t xml:space="preserve">2,700.00</w:t>
            </w:r>
          </w:p>
        </w:tc>
      </w:tr>
    </w:tbl>
    <w:p>
      <w:pPr>
        <w:pStyle w:val="BodyText"/>
      </w:pPr>
      <w:r>
        <w:t xml:space="preserve">Subtotal (Net)</w:t>
      </w:r>
      <w:r>
        <w:t xml:space="preserve"> </w:t>
      </w:r>
      <w:r>
        <w:t xml:space="preserve">66,600.00 EUR</w:t>
      </w:r>
    </w:p>
    <w:p>
      <w:pPr>
        <w:pStyle w:val="BodyText"/>
      </w:pPr>
      <w:r>
        <w:t xml:space="preserve">VAT (21% - Standard Rate Belgium)</w:t>
      </w:r>
      <w:r>
        <w:t xml:space="preserve"> </w:t>
      </w:r>
      <w:r>
        <w:t xml:space="preserve">13,986.00 EUR</w:t>
      </w:r>
    </w:p>
    <w:p>
      <w:pPr>
        <w:pStyle w:val="BodyText"/>
      </w:pPr>
      <w:r>
        <w:t xml:space="preserve">TOTAL DUE</w:t>
      </w:r>
      <w:r>
        <w:t xml:space="preserve"> </w:t>
      </w:r>
      <w:r>
        <w:t xml:space="preserve">80,586.00 EUR</w:t>
      </w:r>
    </w:p>
    <w:bookmarkStart w:id="24" w:name="payment-terms-important-information"/>
    <w:p>
      <w:pPr>
        <w:pStyle w:val="Heading4"/>
      </w:pPr>
      <w:r>
        <w:t xml:space="preserve">Payment Terms &amp; Important Information</w:t>
      </w:r>
    </w:p>
    <w:p>
      <w:pPr>
        <w:pStyle w:val="FirstParagraph"/>
      </w:pPr>
      <w:r>
        <w:rPr>
          <w:bCs/>
          <w:b/>
        </w:rPr>
        <w:t xml:space="preserve">Payment Method:</w:t>
      </w:r>
      <w:r>
        <w:t xml:space="preserve"> </w:t>
      </w:r>
      <w:r>
        <w:t xml:space="preserve">Please transfer the total amount to our bank account in Brussels:</w:t>
      </w:r>
      <w:r>
        <w:br/>
      </w:r>
      <w:r>
        <w:t xml:space="preserve">Bank: KBC Bank</w:t>
      </w:r>
      <w:r>
        <w:br/>
      </w:r>
      <w:r>
        <w:t xml:space="preserve">IBAN: BE68 5390 0754 7032</w:t>
      </w:r>
      <w:r>
        <w:br/>
      </w:r>
      <w:r>
        <w:t xml:space="preserve">BIC: KREDBEBB</w:t>
      </w:r>
      <w:r>
        <w:br/>
      </w:r>
      <w:r>
        <w:t xml:space="preserve">Reference: INV-2023-10-042</w:t>
      </w:r>
    </w:p>
    <w:p>
      <w:pPr>
        <w:pStyle w:val="BodyText"/>
      </w:pPr>
      <w:r>
        <w:rPr>
          <w:bCs/>
          <w:b/>
        </w:rPr>
        <w:t xml:space="preserve">Due Date:</w:t>
      </w:r>
      <w:r>
        <w:t xml:space="preserve"> </w:t>
      </w:r>
      <w:r>
        <w:t xml:space="preserve">Payment is due within 30 days from the date of this invoice. Late payments may incur interest charges in accordance with Belgian law regarding late payment of commercial debts.</w:t>
      </w:r>
    </w:p>
    <w:p>
      <w:pPr>
        <w:pStyle w:val="BodyText"/>
      </w:pPr>
      <w:r>
        <w:rPr>
          <w:bCs/>
          <w:b/>
        </w:rPr>
        <w:t xml:space="preserve">Architectural Services Scope:</w:t>
      </w:r>
      <w:r>
        <w:t xml:space="preserve"> </w:t>
      </w:r>
      <w:r>
        <w:t xml:space="preserve">This invoice covers professional architectural services rendered for the residential renovation project located in Brussels, Belgium. All designs comply with the current urban planning regulations of the City of Brussels and the Brussels-Capital Region.</w:t>
      </w:r>
    </w:p>
    <w:p>
      <w:pPr>
        <w:pStyle w:val="BodyText"/>
      </w:pPr>
      <w:r>
        <w:rPr>
          <w:bCs/>
          <w:b/>
        </w:rPr>
        <w:t xml:space="preserve">VAT Information:</w:t>
      </w:r>
      <w:r>
        <w:t xml:space="preserve"> </w:t>
      </w:r>
      <w:r>
        <w:t xml:space="preserve">As a registered architect in Belgium, VAT is applied at the standard rate of 21%. If you are a VAT-registered business, you may be eligible for VAT recovery under the reverse charge mechanism or standard deduction rules applicable in Belgium.</w:t>
      </w:r>
    </w:p>
    <w:p>
      <w:pPr>
        <w:pStyle w:val="BodyText"/>
      </w:pPr>
      <w:r>
        <w:rPr>
          <w:bCs/>
          <w:b/>
        </w:rPr>
        <w:t xml:space="preserve">Disputes:</w:t>
      </w:r>
      <w:r>
        <w:t xml:space="preserve"> </w:t>
      </w:r>
      <w:r>
        <w:t xml:space="preserve">Any discrepancies regarding this invoice must be reported within 7 days of receipt. Please contact our billing department at billing@brusselsurban.be.</w:t>
      </w:r>
    </w:p>
    <w:p>
      <w:pPr>
        <w:pStyle w:val="BodyText"/>
      </w:pPr>
      <w:r>
        <w:rPr>
          <w:bCs/>
          <w:b/>
        </w:rPr>
        <w:t xml:space="preserve">Legal Jurisdiction:</w:t>
      </w:r>
      <w:r>
        <w:t xml:space="preserve"> </w:t>
      </w:r>
      <w:r>
        <w:t xml:space="preserve">This invoice and the associated services are governed by the laws of Belgium. Any legal disputes shall be subject to the exclusive jurisdiction of the courts of Brussels.</w:t>
      </w:r>
    </w:p>
    <w:bookmarkEnd w:id="24"/>
    <w:p>
      <w:pPr>
        <w:pStyle w:val="BodyText"/>
      </w:pPr>
      <w:r>
        <w:t xml:space="preserve">Brussels Urban Design Architects | Avenue Louise 250, 1050 Brussels, Belgium</w:t>
      </w:r>
    </w:p>
    <w:p>
      <w:pPr>
        <w:pStyle w:val="BodyText"/>
      </w:pPr>
      <w:r>
        <w:t xml:space="preserve">Thank you for your business. We appreciate your trust in our architectural expertise.</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Brussels, Belgium</dc:title>
  <dc:creator/>
  <dc:language>en</dc:language>
  <cp:keywords/>
  <dcterms:created xsi:type="dcterms:W3CDTF">2026-10-10T03:41:41Z</dcterms:created>
  <dcterms:modified xsi:type="dcterms:W3CDTF">2026-10-10T03:41:41Z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