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Guangzhou,</w:t>
      </w:r>
      <w:r>
        <w:t xml:space="preserve"> </w:t>
      </w:r>
      <w:r>
        <w:t xml:space="preserve">China</w:t>
      </w:r>
    </w:p>
    <w:bookmarkStart w:id="20" w:name="Xf714acd7b7f829bfbf05a9c59e897b923ac98f4"/>
    <w:p>
      <w:pPr>
        <w:pStyle w:val="Heading1"/>
      </w:pPr>
      <w:r>
        <w:t xml:space="preserve">Guangzhou Horizon Architectural Design Co., Ltd.</w:t>
      </w:r>
    </w:p>
    <w:p>
      <w:pPr>
        <w:pStyle w:val="FirstParagraph"/>
      </w:pPr>
      <w:r>
        <w:rPr>
          <w:bCs/>
          <w:b/>
        </w:rPr>
        <w:t xml:space="preserve">Unified Social Credit Code:</w:t>
      </w:r>
      <w:r>
        <w:t xml:space="preserve"> </w:t>
      </w:r>
      <w:r>
        <w:t xml:space="preserve">91440101MA5CK8XJ2Y</w:t>
      </w:r>
    </w:p>
    <w:p>
      <w:pPr>
        <w:pStyle w:val="BodyText"/>
      </w:pPr>
      <w:r>
        <w:rPr>
          <w:bCs/>
          <w:b/>
        </w:rPr>
        <w:t xml:space="preserve">Address:</w:t>
      </w:r>
      <w:r>
        <w:t xml:space="preserve"> </w:t>
      </w:r>
      <w:r>
        <w:t xml:space="preserve">Room 1205, Tower A, Zhujiang New Town International Finance Center, Tianhe District, Guangzhou, Guangdong Province, China.</w:t>
      </w:r>
    </w:p>
    <w:p>
      <w:pPr>
        <w:pStyle w:val="BodyText"/>
      </w:pPr>
      <w:r>
        <w:rPr>
          <w:bCs/>
          <w:b/>
        </w:rPr>
        <w:t xml:space="preserve">Phone:</w:t>
      </w:r>
      <w:r>
        <w:t xml:space="preserve"> </w:t>
      </w:r>
      <w:r>
        <w:t xml:space="preserve">+86 20 8888 9999</w:t>
      </w:r>
    </w:p>
    <w:p>
      <w:pPr>
        <w:pStyle w:val="BodyText"/>
      </w:pPr>
      <w:r>
        <w:rPr>
          <w:bCs/>
          <w:b/>
        </w:rPr>
        <w:t xml:space="preserve">Email:</w:t>
      </w:r>
      <w:r>
        <w:t xml:space="preserve"> </w:t>
      </w:r>
      <w:r>
        <w:t xml:space="preserve">billing@gzhorizon-arch.com</w:t>
      </w:r>
    </w:p>
    <w:p>
      <w:pPr>
        <w:pStyle w:val="BodyText"/>
      </w:pPr>
      <w:r>
        <w:rPr>
          <w:bCs/>
          <w:b/>
        </w:rPr>
        <w:t xml:space="preserve">Website:</w:t>
      </w:r>
      <w:r>
        <w:t xml:space="preserve"> </w:t>
      </w:r>
      <w:r>
        <w:t xml:space="preserve">www.gzhorizon-arch.com</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Invoice Number:</w:t>
            </w:r>
          </w:p>
        </w:tc>
        <w:tc>
          <w:tcPr/>
          <w:p>
            <w:pPr>
              <w:pStyle w:val="Compact"/>
              <w:jc w:val="left"/>
            </w:pPr>
            <w:r>
              <w:t xml:space="preserve">INV-GZ-2023-10-045</w:t>
            </w:r>
          </w:p>
        </w:tc>
      </w:tr>
      <w:tr>
        <w:tc>
          <w:tcPr/>
          <w:p>
            <w:pPr>
              <w:pStyle w:val="Compact"/>
              <w:jc w:val="left"/>
            </w:pPr>
            <w:r>
              <w:rPr>
                <w:bCs/>
                <w:b/>
              </w:rPr>
              <w:t xml:space="preserve">Date of Issue:</w:t>
            </w:r>
          </w:p>
        </w:tc>
        <w:tc>
          <w:tcPr/>
          <w:p>
            <w:pPr>
              <w:pStyle w:val="Compact"/>
              <w:jc w:val="left"/>
            </w:pPr>
            <w:r>
              <w:t xml:space="preserve">October 24, 2023</w:t>
            </w:r>
          </w:p>
        </w:tc>
      </w:tr>
      <w:tr>
        <w:tc>
          <w:tcPr/>
          <w:p>
            <w:pPr>
              <w:pStyle w:val="Compact"/>
              <w:jc w:val="left"/>
            </w:pPr>
            <w:r>
              <w:rPr>
                <w:bCs/>
                <w:b/>
              </w:rPr>
              <w:t xml:space="preserve">Due Date:</w:t>
            </w:r>
          </w:p>
        </w:tc>
        <w:tc>
          <w:tcPr/>
          <w:p>
            <w:pPr>
              <w:pStyle w:val="Compact"/>
              <w:jc w:val="left"/>
            </w:pPr>
            <w:r>
              <w:t xml:space="preserve">November 24, 2023</w:t>
            </w:r>
          </w:p>
        </w:tc>
      </w:tr>
      <w:tr>
        <w:tc>
          <w:tcPr/>
          <w:p>
            <w:pPr>
              <w:pStyle w:val="Compact"/>
              <w:jc w:val="left"/>
            </w:pPr>
            <w:r>
              <w:rPr>
                <w:bCs/>
                <w:b/>
              </w:rPr>
              <w:t xml:space="preserve">Project Reference:</w:t>
            </w:r>
          </w:p>
        </w:tc>
        <w:tc>
          <w:tcPr/>
          <w:p>
            <w:pPr>
              <w:pStyle w:val="Compact"/>
              <w:jc w:val="left"/>
            </w:pPr>
            <w:r>
              <w:t xml:space="preserve">Phase II: Pearl Riverfront Commercial Complex</w:t>
            </w:r>
          </w:p>
        </w:tc>
      </w:tr>
    </w:tbl>
    <w:bookmarkEnd w:id="21"/>
    <w:bookmarkStart w:id="22" w:name="bill-to-client"/>
    <w:p>
      <w:pPr>
        <w:pStyle w:val="Heading3"/>
      </w:pPr>
      <w:r>
        <w:t xml:space="preserve">Bill To (Client)</w:t>
      </w:r>
    </w:p>
    <w:p>
      <w:pPr>
        <w:pStyle w:val="FirstParagraph"/>
      </w:pPr>
      <w:r>
        <w:rPr>
          <w:bCs/>
          <w:b/>
        </w:rPr>
        <w:t xml:space="preserve">Guangzhou Urban Development &amp; Construction Group Co., Ltd.</w:t>
      </w:r>
    </w:p>
    <w:p>
      <w:pPr>
        <w:pStyle w:val="BodyText"/>
      </w:pPr>
      <w:r>
        <w:t xml:space="preserve">Attn: Mr. Li Wei, Director of Procurement</w:t>
      </w:r>
    </w:p>
    <w:p>
      <w:pPr>
        <w:pStyle w:val="BodyText"/>
      </w:pPr>
      <w:r>
        <w:t xml:space="preserve">18th Floor, Guangzhou International Finance Center (IFC)</w:t>
      </w:r>
    </w:p>
    <w:p>
      <w:pPr>
        <w:pStyle w:val="BodyText"/>
      </w:pPr>
      <w:r>
        <w:t xml:space="preserve">Tianhe District, Guangzhou, Guangdong, China.</w:t>
      </w:r>
    </w:p>
    <w:p>
      <w:pPr>
        <w:pStyle w:val="BodyText"/>
      </w:pPr>
      <w:r>
        <w:t xml:space="preserve">Tax ID: 91440101734056789X</w:t>
      </w:r>
    </w:p>
    <w:bookmarkEnd w:id="22"/>
    <w:bookmarkStart w:id="23" w:name="bank-details-for-payment"/>
    <w:p>
      <w:pPr>
        <w:pStyle w:val="Heading3"/>
      </w:pPr>
      <w:r>
        <w:t xml:space="preserve">Bank Details for Payment</w:t>
      </w:r>
    </w:p>
    <w:p>
      <w:pPr>
        <w:pStyle w:val="FirstParagraph"/>
      </w:pPr>
      <w:r>
        <w:rPr>
          <w:bCs/>
          <w:b/>
        </w:rPr>
        <w:t xml:space="preserve">Bank Name:</w:t>
      </w:r>
      <w:r>
        <w:t xml:space="preserve"> </w:t>
      </w:r>
      <w:r>
        <w:t xml:space="preserve">Industrial and Commercial Bank of China (ICBC)</w:t>
      </w:r>
    </w:p>
    <w:p>
      <w:pPr>
        <w:pStyle w:val="BodyText"/>
      </w:pPr>
      <w:r>
        <w:rPr>
          <w:bCs/>
          <w:b/>
        </w:rPr>
        <w:t xml:space="preserve">Branch:</w:t>
      </w:r>
      <w:r>
        <w:t xml:space="preserve"> </w:t>
      </w:r>
      <w:r>
        <w:t xml:space="preserve">Zhujiang New Town Branch, Guangzhou</w:t>
      </w:r>
    </w:p>
    <w:p>
      <w:pPr>
        <w:pStyle w:val="BodyText"/>
      </w:pPr>
      <w:r>
        <w:rPr>
          <w:bCs/>
          <w:b/>
        </w:rPr>
        <w:t xml:space="preserve">Account Name:</w:t>
      </w:r>
      <w:r>
        <w:t xml:space="preserve"> </w:t>
      </w:r>
      <w:r>
        <w:t xml:space="preserve">Guangzhou Horizon Architectural Design Co., Ltd.</w:t>
      </w:r>
    </w:p>
    <w:p>
      <w:pPr>
        <w:pStyle w:val="BodyText"/>
      </w:pPr>
      <w:r>
        <w:rPr>
          <w:bCs/>
          <w:b/>
        </w:rPr>
        <w:t xml:space="preserve">Account Number:</w:t>
      </w:r>
      <w:r>
        <w:t xml:space="preserve"> </w:t>
      </w:r>
      <w:r>
        <w:t xml:space="preserve">4000 1234 5678 9012 345</w:t>
      </w:r>
    </w:p>
    <w:p>
      <w:pPr>
        <w:pStyle w:val="BodyText"/>
      </w:pPr>
      <w:r>
        <w:rPr>
          <w:bCs/>
          <w:b/>
        </w:rPr>
        <w:t xml:space="preserve">Currency:</w:t>
      </w:r>
      <w:r>
        <w:t xml:space="preserve"> </w:t>
      </w:r>
      <w:r>
        <w:t xml:space="preserve">CNY (Chinese Yuan Renminbi)</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Conceptual Design &amp; Site Analysis (Guangzhou Context)</w:t>
            </w:r>
            <w:r>
              <w:br/>
            </w:r>
            <w:r>
              <w:t xml:space="preserve">Comprehensive analysis of the Pearl Riverfront site conditions, including topographical surveys, local zoning regulations compliance check for Tianhe District, and initial conceptual massing models. This phase includes three (3) distinct design concepts tailored to the modern aesthetic of Guangzhou's skyline.</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2</w:t>
            </w:r>
          </w:p>
        </w:tc>
        <w:tc>
          <w:tcPr/>
          <w:p>
            <w:pPr>
              <w:pStyle w:val="Compact"/>
              <w:jc w:val="left"/>
            </w:pPr>
            <w:r>
              <w:rPr>
                <w:bCs/>
                <w:b/>
              </w:rPr>
              <w:t xml:space="preserve">Schematic Design Development</w:t>
            </w:r>
            <w:r>
              <w:br/>
            </w:r>
            <w:r>
              <w:t xml:space="preserve">Refinement of the selected concept into detailed schematic drawings. Includes floor plans, elevations, and 3D renderings. Coordination with local structural and MEP consultants to ensure feasibility within Chinese building codes (GB Standards).</w:t>
            </w:r>
          </w:p>
        </w:tc>
        <w:tc>
          <w:tcPr/>
          <w:p>
            <w:pPr>
              <w:pStyle w:val="Compact"/>
              <w:jc w:val="left"/>
            </w:pPr>
            <w:r>
              <w:t xml:space="preserve">1 Lot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Design Documentation &amp; Permitting Support</w:t>
            </w:r>
            <w:r>
              <w:br/>
            </w:r>
            <w:r>
              <w:t xml:space="preserve">Preparation of technical architectural drawings required for submission to the Guangzhou Planning and Natural Resources Bureau. Includes detailed sections, material specifications, and fire safety compliance layouts.</w:t>
            </w:r>
          </w:p>
        </w:tc>
        <w:tc>
          <w:tcPr/>
          <w:p>
            <w:pPr>
              <w:pStyle w:val="Compact"/>
              <w:jc w:val="left"/>
            </w:pPr>
            <w:r>
              <w:t xml:space="preserve">1 Lot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4</w:t>
            </w:r>
          </w:p>
        </w:tc>
        <w:tc>
          <w:tcPr/>
          <w:p>
            <w:pPr>
              <w:pStyle w:val="Compact"/>
              <w:jc w:val="left"/>
            </w:pPr>
            <w:r>
              <w:rPr>
                <w:bCs/>
                <w:b/>
              </w:rPr>
              <w:t xml:space="preserve">Construction Administration &amp; Site Visits</w:t>
            </w:r>
            <w:r>
              <w:br/>
            </w:r>
            <w:r>
              <w:t xml:space="preserve">On-site supervision during the initial construction phase. Includes monthly site visits to Guangzhou project location, review of contractor submittals, and issuance of architectural clarifications to ensure design intent is maintained.</w:t>
            </w:r>
          </w:p>
        </w:tc>
        <w:tc>
          <w:tcPr/>
          <w:p>
            <w:pPr>
              <w:pStyle w:val="Compact"/>
              <w:jc w:val="left"/>
            </w:pPr>
            <w:r>
              <w:t xml:space="preserve">12 Visits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5</w:t>
            </w:r>
          </w:p>
        </w:tc>
        <w:tc>
          <w:tcPr/>
          <w:p>
            <w:pPr>
              <w:pStyle w:val="Compact"/>
              <w:jc w:val="left"/>
            </w:pPr>
            <w:r>
              <w:rPr>
                <w:bCs/>
                <w:b/>
              </w:rPr>
              <w:t xml:space="preserve">Sustainability Consulting (LEED &amp; Green Building)</w:t>
            </w:r>
            <w:r>
              <w:br/>
            </w:r>
            <w:r>
              <w:t xml:space="preserve">Specialized consulting to achieve Green Building Evaluation Standard compliance for the project. Includes energy modeling and material selection advice suitable for the subtropical climate of Southern China.</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699,000.00 CNY</w:t>
            </w:r>
          </w:p>
        </w:tc>
      </w:tr>
      <w:tr>
        <w:tc>
          <w:tcPr/>
          <w:p>
            <w:pPr>
              <w:pStyle w:val="Compact"/>
              <w:jc w:val="left"/>
            </w:pPr>
            <w:r>
              <w:t xml:space="preserve">VAT (6% - Architectural Services):</w:t>
            </w:r>
          </w:p>
        </w:tc>
        <w:tc>
          <w:tcPr/>
          <w:p>
            <w:pPr>
              <w:pStyle w:val="Compact"/>
              <w:jc w:val="left"/>
            </w:pPr>
            <w:r>
              <w:t xml:space="preserve">41,940.00 CNY</w:t>
            </w:r>
          </w:p>
        </w:tc>
      </w:tr>
      <w:tr>
        <w:tc>
          <w:tcPr/>
          <w:p>
            <w:pPr>
              <w:pStyle w:val="Compact"/>
              <w:jc w:val="left"/>
            </w:pPr>
            <w:r>
              <w:t xml:space="preserve">Total Amount Due:</w:t>
            </w:r>
          </w:p>
        </w:tc>
        <w:tc>
          <w:tcPr/>
          <w:p>
            <w:pPr>
              <w:pStyle w:val="Compact"/>
              <w:jc w:val="left"/>
            </w:pPr>
            <w:r>
              <w:t xml:space="preserve">740,940.00 CNY</w:t>
            </w:r>
          </w:p>
        </w:tc>
      </w:tr>
      <w:tr>
        <w:tc>
          <w:tcPr>
            <w:gridSpan w:val="2"/>
          </w:tcPr>
          <w:p>
            <w:pPr>
              <w:pStyle w:val="Compact"/>
              <w:jc w:val="left"/>
            </w:pPr>
            <w:r>
              <w:t xml:space="preserve">Amount in words: Seven Hundred Forty Thousand Nine Hundred Forty Chinese Yuan Renminbi Only.</w:t>
            </w:r>
          </w:p>
        </w:tc>
      </w:tr>
    </w:tbl>
    <w:bookmarkStart w:id="24" w:name="terms-and-conditions-important-notes"/>
    <w:p>
      <w:pPr>
        <w:pStyle w:val="Heading4"/>
      </w:pPr>
      <w:r>
        <w:t xml:space="preserve">Terms and Conditions &amp; Important Notes:</w:t>
      </w:r>
    </w:p>
    <w:p>
      <w:pPr>
        <w:numPr>
          <w:ilvl w:val="0"/>
          <w:numId w:val="1001"/>
        </w:numPr>
        <w:pStyle w:val="Compact"/>
      </w:pPr>
      <w:r>
        <w:rPr>
          <w:bCs/>
          <w:b/>
        </w:rPr>
        <w:t xml:space="preserve">Payment Terms:</w:t>
      </w:r>
      <w:r>
        <w:t xml:space="preserve"> </w:t>
      </w:r>
      <w:r>
        <w:t xml:space="preserve">Payment is due within 30 days of the invoice date. Late payments may incur a penalty interest of 0.05% per day.</w:t>
      </w:r>
    </w:p>
    <w:p>
      <w:pPr>
        <w:numPr>
          <w:ilvl w:val="0"/>
          <w:numId w:val="1001"/>
        </w:numPr>
        <w:pStyle w:val="Compact"/>
      </w:pPr>
      <w:r>
        <w:rPr>
          <w:bCs/>
          <w:b/>
        </w:rPr>
        <w:t xml:space="preserve">Currency:</w:t>
      </w:r>
      <w:r>
        <w:t xml:space="preserve"> </w:t>
      </w:r>
      <w:r>
        <w:t xml:space="preserve">All amounts are quoted in Chinese Yuan (CNY). Payments made in foreign currency will be converted at the exchange rate prevailing on the date of receipt.</w:t>
      </w:r>
    </w:p>
    <w:p>
      <w:pPr>
        <w:numPr>
          <w:ilvl w:val="0"/>
          <w:numId w:val="1001"/>
        </w:numPr>
        <w:pStyle w:val="Compact"/>
      </w:pPr>
      <w:r>
        <w:rPr>
          <w:bCs/>
          <w:b/>
        </w:rPr>
        <w:t xml:space="preserve">Intellectual Property:</w:t>
      </w:r>
      <w:r>
        <w:t xml:space="preserve"> </w:t>
      </w:r>
      <w:r>
        <w:t xml:space="preserve">All architectural designs, drawings, and models remain the intellectual property of Guangzhou Horizon Architectural Design Co., Ltd. until full payment is received.</w:t>
      </w:r>
    </w:p>
    <w:p>
      <w:pPr>
        <w:numPr>
          <w:ilvl w:val="0"/>
          <w:numId w:val="1001"/>
        </w:numPr>
        <w:pStyle w:val="Compact"/>
      </w:pPr>
      <w:r>
        <w:rPr>
          <w:bCs/>
          <w:b/>
        </w:rPr>
        <w:t xml:space="preserve">Scope of Work:</w:t>
      </w:r>
      <w:r>
        <w:t xml:space="preserve"> </w:t>
      </w:r>
      <w:r>
        <w:t xml:space="preserve">This invoice covers the services described above for the Pearl Riverfront Commercial Complex project located in Guangzhou, China. Any additional services requested by the client will be billed separately.</w:t>
      </w:r>
    </w:p>
    <w:p>
      <w:pPr>
        <w:numPr>
          <w:ilvl w:val="0"/>
          <w:numId w:val="1001"/>
        </w:numPr>
        <w:pStyle w:val="Compact"/>
      </w:pPr>
      <w:r>
        <w:rPr>
          <w:bCs/>
          <w:b/>
        </w:rPr>
        <w:t xml:space="preserve">Regulatory Compliance:</w:t>
      </w:r>
      <w:r>
        <w:t xml:space="preserve"> </w:t>
      </w:r>
      <w:r>
        <w:t xml:space="preserve">The Architect guarantees that all designs comply with the current national and local building codes of the People's Republic of China, specifically those enforced in the Guangdong Province and Guangzhou Municipality.</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negotiation. If negotiation fails, the dispute shall be submitted to the Guangzhou Arbitration Commission for arbitration in accordance with its rules.</w:t>
      </w:r>
    </w:p>
    <w:p>
      <w:pPr>
        <w:numPr>
          <w:ilvl w:val="0"/>
          <w:numId w:val="1001"/>
        </w:numPr>
        <w:pStyle w:val="Compact"/>
      </w:pPr>
      <w:r>
        <w:rPr>
          <w:bCs/>
          <w:b/>
        </w:rPr>
        <w:t xml:space="preserve">Validity:</w:t>
      </w:r>
      <w:r>
        <w:t xml:space="preserve"> </w:t>
      </w:r>
      <w:r>
        <w:t xml:space="preserve">This invoice is valid for tax deduction purposes in accordance with the State Taxation Administration of China regulations.</w:t>
      </w:r>
    </w:p>
    <w:bookmarkEnd w:id="24"/>
    <w:p>
      <w:pPr>
        <w:pStyle w:val="FirstParagraph"/>
      </w:pPr>
      <w:r>
        <w:rPr>
          <w:bCs/>
          <w:b/>
        </w:rPr>
        <w:t xml:space="preserve">Authorized Signature (Architect)</w:t>
      </w:r>
    </w:p>
    <w:p>
      <w:pPr>
        <w:pStyle w:val="BodyText"/>
      </w:pPr>
      <w:r>
        <w:t xml:space="preserve">Dr. Zhang Ming</w:t>
      </w:r>
    </w:p>
    <w:p>
      <w:pPr>
        <w:pStyle w:val="BodyText"/>
      </w:pPr>
      <w:r>
        <w:t xml:space="preserve">Principal Architect</w:t>
      </w:r>
    </w:p>
    <w:p>
      <w:pPr>
        <w:pStyle w:val="BodyText"/>
      </w:pPr>
      <w:r>
        <w:t xml:space="preserve">Guangzhou Horizon Architectural Design Co., Ltd.</w:t>
      </w:r>
    </w:p>
    <w:p>
      <w:pPr>
        <w:pStyle w:val="BodyText"/>
      </w:pPr>
      <w:r>
        <w:rPr>
          <w:bCs/>
          <w:b/>
        </w:rPr>
        <w:t xml:space="preserve">Received By (Client)</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Thank you for your business. We are proud to contribute to the architectural landscape of Guangzhou, China.</w:t>
      </w:r>
    </w:p>
    <w:p>
      <w:pPr>
        <w:pStyle w:val="BodyText"/>
      </w:pPr>
      <w:r>
        <w:t xml:space="preserve">Guangzhou Horizon Architectural Design Co., Ltd. | Registered in Guangzhou, Guangdong,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Guangzhou, China</dc:title>
  <dc:creator/>
  <dc:language>en</dc:language>
  <cp:keywords/>
  <dcterms:created xsi:type="dcterms:W3CDTF">2026-10-10T01:55:18Z</dcterms:created>
  <dcterms:modified xsi:type="dcterms:W3CDTF">2026-10-10T01:55:18Z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