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Shanghai,</w:t>
      </w:r>
      <w:r>
        <w:t xml:space="preserve"> </w:t>
      </w:r>
      <w:r>
        <w:t xml:space="preserve">China</w:t>
      </w:r>
    </w:p>
    <w:bookmarkStart w:id="20" w:name="shanghai-horizon-architects"/>
    <w:p>
      <w:pPr>
        <w:pStyle w:val="Heading1"/>
      </w:pPr>
      <w:r>
        <w:t xml:space="preserve">Shanghai Horizon Architects</w:t>
      </w:r>
    </w:p>
    <w:p>
      <w:pPr>
        <w:pStyle w:val="FirstParagraph"/>
      </w:pPr>
      <w:r>
        <w:t xml:space="preserve">Registered Address: 1200 Century Avenue, Pudong New Area, Shanghai, China</w:t>
      </w:r>
    </w:p>
    <w:p>
      <w:pPr>
        <w:pStyle w:val="BodyText"/>
      </w:pPr>
      <w:r>
        <w:t xml:space="preserve">Unified Social Credit Code: 91310115MA1FL8XXXX</w:t>
      </w:r>
    </w:p>
    <w:p>
      <w:pPr>
        <w:pStyle w:val="BodyText"/>
      </w:pPr>
      <w:r>
        <w:t xml:space="preserve">Taxpayer ID: 91310115MA1FL8XXXX</w:t>
      </w:r>
    </w:p>
    <w:p>
      <w:pPr>
        <w:pStyle w:val="BodyText"/>
      </w:pPr>
      <w:r>
        <w:t xml:space="preserve">Email: billing@shanghaihorizonarch.com | Phone: +86 21 5888 9999</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Shanghai Future Development Group Co., Ltd.</w:t>
      </w:r>
    </w:p>
    <w:p>
      <w:pPr>
        <w:pStyle w:val="BodyText"/>
      </w:pPr>
      <w:r>
        <w:rPr>
          <w:bCs/>
          <w:b/>
        </w:rPr>
        <w:t xml:space="preserve">Address:</w:t>
      </w:r>
      <w:r>
        <w:t xml:space="preserve"> </w:t>
      </w:r>
      <w:r>
        <w:t xml:space="preserve">88 Nanjing West Road, Huangpu District, Shanghai, China</w:t>
      </w:r>
    </w:p>
    <w:p>
      <w:pPr>
        <w:pStyle w:val="BodyText"/>
      </w:pPr>
      <w:r>
        <w:rPr>
          <w:bCs/>
          <w:b/>
        </w:rPr>
        <w:t xml:space="preserve">Contact Person:</w:t>
      </w:r>
      <w:r>
        <w:t xml:space="preserve"> </w:t>
      </w:r>
      <w:r>
        <w:t xml:space="preserve">Mr. Wei Zhang</w:t>
      </w:r>
    </w:p>
    <w:p>
      <w:pPr>
        <w:pStyle w:val="BodyText"/>
      </w:pPr>
      <w:r>
        <w:rPr>
          <w:bCs/>
          <w:b/>
        </w:rPr>
        <w:t xml:space="preserve">Project Reference:</w:t>
      </w:r>
      <w:r>
        <w:t xml:space="preserve"> </w:t>
      </w:r>
      <w:r>
        <w:t xml:space="preserve">The Jade Skyline Residential Complex</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INV-SH-2023-0892</w:t>
      </w:r>
    </w:p>
    <w:p>
      <w:pPr>
        <w:pStyle w:val="BodyText"/>
      </w:pPr>
      <w:r>
        <w:rPr>
          <w:bCs/>
          <w:b/>
        </w:rPr>
        <w:t xml:space="preserve">Project Phase:</w:t>
      </w:r>
      <w:r>
        <w:t xml:space="preserve"> </w:t>
      </w:r>
      <w:r>
        <w:t xml:space="preserve">Phase II - Design Development &amp; Construction Documentation</w:t>
      </w:r>
    </w:p>
    <w:p>
      <w:pPr>
        <w:pStyle w:val="BodyText"/>
      </w:pPr>
      <w:r>
        <w:rPr>
          <w:bCs/>
          <w:b/>
        </w:rPr>
        <w:t xml:space="preserve">Currency:</w:t>
      </w:r>
      <w:r>
        <w:t xml:space="preserve"> </w:t>
      </w:r>
      <w:r>
        <w:t xml:space="preserve">Chinese Yuan (CNY)</w:t>
      </w:r>
    </w:p>
    <w:p>
      <w:pPr>
        <w:pStyle w:val="BodyText"/>
      </w:pPr>
      <w:r>
        <w:rPr>
          <w:bCs/>
          <w:b/>
        </w:rPr>
        <w:t xml:space="preserve">Payment Terms:</w:t>
      </w:r>
      <w:r>
        <w:t xml:space="preserve"> </w:t>
      </w:r>
      <w:r>
        <w:t xml:space="preserve">Net 30 Days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rPr>
                <w:bCs/>
                <w:b/>
              </w:rPr>
              <w:t xml:space="preserve">Conceptual Design Refinement:</w:t>
            </w:r>
            <w:r>
              <w:t xml:space="preserve"> </w:t>
            </w:r>
            <w:r>
              <w:t xml:space="preserve">Detailed development of the initial architectural concept for the Jade Skyline project. This includes 3D modeling, massing studies, and facade material selection compliant with Shanghai municipal planning regulations.</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rPr>
                <w:bCs/>
                <w:b/>
              </w:rPr>
              <w:t xml:space="preserve">Site Analysis &amp; Zoning Compliance:</w:t>
            </w:r>
            <w:r>
              <w:t xml:space="preserve"> </w:t>
            </w:r>
            <w:r>
              <w:t xml:space="preserve">Comprehensive analysis of the site located in Pudong New Area. Verification of floor area ratio (FAR), height restrictions, and green space requirements specific to the local Shanghai urban planning bureau standards.</w:t>
            </w:r>
          </w:p>
        </w:tc>
        <w:tc>
          <w:tcPr/>
          <w:p>
            <w:pPr>
              <w:pStyle w:val="Compact"/>
              <w:jc w:val="left"/>
            </w:pPr>
            <w:r>
              <w:t xml:space="preserve">25</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3</w:t>
            </w:r>
          </w:p>
        </w:tc>
        <w:tc>
          <w:tcPr/>
          <w:p>
            <w:pPr>
              <w:pStyle w:val="Compact"/>
              <w:jc w:val="left"/>
            </w:pPr>
            <w:r>
              <w:rPr>
                <w:bCs/>
                <w:b/>
              </w:rPr>
              <w:t xml:space="preserve">Construction Documentation (Floor Plans):</w:t>
            </w:r>
            <w:r>
              <w:t xml:space="preserve"> </w:t>
            </w:r>
            <w:r>
              <w:t xml:space="preserve">Preparation of detailed floor plans for Levels 1 through 20. Includes structural grid alignment, room layouts, and circulation paths designed for high-density residential living in China.</w:t>
            </w:r>
          </w:p>
        </w:tc>
        <w:tc>
          <w:tcPr/>
          <w:p>
            <w:pPr>
              <w:pStyle w:val="Compact"/>
              <w:jc w:val="left"/>
            </w:pPr>
            <w:r>
              <w:t xml:space="preserve">60</w:t>
            </w:r>
          </w:p>
        </w:tc>
        <w:tc>
          <w:tcPr/>
          <w:p>
            <w:pPr>
              <w:pStyle w:val="Compact"/>
              <w:jc w:val="left"/>
            </w:pPr>
            <w:r>
              <w:t xml:space="preserve">1,200.00</w:t>
            </w:r>
          </w:p>
        </w:tc>
        <w:tc>
          <w:tcPr/>
          <w:p>
            <w:pPr>
              <w:pStyle w:val="Compact"/>
              <w:jc w:val="left"/>
            </w:pPr>
            <w:r>
              <w:t xml:space="preserve">72,000.00</w:t>
            </w:r>
          </w:p>
        </w:tc>
      </w:tr>
      <w:tr>
        <w:tc>
          <w:tcPr/>
          <w:p>
            <w:pPr>
              <w:pStyle w:val="Compact"/>
              <w:jc w:val="left"/>
            </w:pPr>
            <w:r>
              <w:t xml:space="preserve">4</w:t>
            </w:r>
          </w:p>
        </w:tc>
        <w:tc>
          <w:tcPr/>
          <w:p>
            <w:pPr>
              <w:pStyle w:val="Compact"/>
              <w:jc w:val="left"/>
            </w:pPr>
            <w:r>
              <w:rPr>
                <w:bCs/>
                <w:b/>
              </w:rPr>
              <w:t xml:space="preserve">Facade Engineering &amp; Elevation Drawings:</w:t>
            </w:r>
            <w:r>
              <w:t xml:space="preserve"> </w:t>
            </w:r>
            <w:r>
              <w:t xml:space="preserve">Creation of technical elevation drawings and facade details. Focus on energy efficiency and aesthetic integration with the Shanghai skyline, utilizing modern glass curtain wall systems.</w:t>
            </w:r>
          </w:p>
        </w:tc>
        <w:tc>
          <w:tcPr/>
          <w:p>
            <w:pPr>
              <w:pStyle w:val="Compact"/>
              <w:jc w:val="left"/>
            </w:pPr>
            <w:r>
              <w:t xml:space="preserve">35</w:t>
            </w:r>
          </w:p>
        </w:tc>
        <w:tc>
          <w:tcPr/>
          <w:p>
            <w:pPr>
              <w:pStyle w:val="Compact"/>
              <w:jc w:val="left"/>
            </w:pPr>
            <w:r>
              <w:t xml:space="preserve">1,200.00</w:t>
            </w:r>
          </w:p>
        </w:tc>
        <w:tc>
          <w:tcPr/>
          <w:p>
            <w:pPr>
              <w:pStyle w:val="Compact"/>
              <w:jc w:val="left"/>
            </w:pPr>
            <w:r>
              <w:t xml:space="preserve">42,000.00</w:t>
            </w:r>
          </w:p>
        </w:tc>
      </w:tr>
      <w:tr>
        <w:tc>
          <w:tcPr/>
          <w:p>
            <w:pPr>
              <w:pStyle w:val="Compact"/>
              <w:jc w:val="left"/>
            </w:pPr>
            <w:r>
              <w:t xml:space="preserve">5</w:t>
            </w:r>
          </w:p>
        </w:tc>
        <w:tc>
          <w:tcPr/>
          <w:p>
            <w:pPr>
              <w:pStyle w:val="Compact"/>
              <w:jc w:val="left"/>
            </w:pPr>
            <w:r>
              <w:rPr>
                <w:bCs/>
                <w:b/>
              </w:rPr>
              <w:t xml:space="preserve">Client Consultation &amp; Review Meetings:</w:t>
            </w:r>
            <w:r>
              <w:t xml:space="preserve"> </w:t>
            </w:r>
            <w:r>
              <w:t xml:space="preserve">Time spent in on-site and virtual meetings with the Shanghai Future Development Group stakeholders to review progress, address feedback, and ensure alignment with project vision.</w:t>
            </w:r>
          </w:p>
        </w:tc>
        <w:tc>
          <w:tcPr/>
          <w:p>
            <w:pPr>
              <w:pStyle w:val="Compact"/>
              <w:jc w:val="left"/>
            </w:pPr>
            <w:r>
              <w:t xml:space="preserve">15</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6</w:t>
            </w:r>
          </w:p>
        </w:tc>
        <w:tc>
          <w:tcPr/>
          <w:p>
            <w:pPr>
              <w:pStyle w:val="Compact"/>
              <w:jc w:val="left"/>
            </w:pPr>
            <w:r>
              <w:rPr>
                <w:bCs/>
                <w:b/>
              </w:rPr>
              <w:t xml:space="preserve">Regulatory Submission Support:</w:t>
            </w:r>
            <w:r>
              <w:t xml:space="preserve"> </w:t>
            </w:r>
            <w:r>
              <w:t xml:space="preserve">Preparation of documents required for submission to the Shanghai Planning and Natural Resources Bureau. Ensuring all architectural drawings meet the latest national and local building codes.</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bl>
    <w:p>
      <w:pPr>
        <w:pStyle w:val="BodyText"/>
      </w:pPr>
      <w:r>
        <w:t xml:space="preserve">Subtotal:</w:t>
      </w:r>
      <w:r>
        <w:t xml:space="preserve"> </w:t>
      </w:r>
      <w:r>
        <w:t xml:space="preserve">234,000.00 CNY</w:t>
      </w:r>
    </w:p>
    <w:p>
      <w:pPr>
        <w:pStyle w:val="BodyText"/>
      </w:pPr>
      <w:r>
        <w:t xml:space="preserve">VAT (6% - Architectural Services):</w:t>
      </w:r>
      <w:r>
        <w:t xml:space="preserve"> </w:t>
      </w:r>
      <w:r>
        <w:t xml:space="preserve">14,040.00 CNY</w:t>
      </w:r>
    </w:p>
    <w:p>
      <w:pPr>
        <w:pStyle w:val="BodyText"/>
      </w:pPr>
      <w:r>
        <w:t xml:space="preserve">TOTAL DUE:</w:t>
      </w:r>
      <w:r>
        <w:t xml:space="preserve"> </w:t>
      </w:r>
      <w:r>
        <w:t xml:space="preserve">248,040.00 CNY</w:t>
      </w:r>
    </w:p>
    <w:bookmarkStart w:id="24" w:name="payment-instructions-notes"/>
    <w:p>
      <w:pPr>
        <w:pStyle w:val="Heading4"/>
      </w:pPr>
      <w:r>
        <w:t xml:space="preserve">Payment Instructions &amp; Notes</w:t>
      </w:r>
    </w:p>
    <w:p>
      <w:pPr>
        <w:pStyle w:val="FirstParagraph"/>
      </w:pPr>
      <w:r>
        <w:t xml:space="preserve">Please make payment via bank transfer to the following account within 30 days of the invoice date. Late payments may incur a penalty of 0.05% per day.</w:t>
      </w:r>
    </w:p>
    <w:p>
      <w:pPr>
        <w:pStyle w:val="BodyText"/>
      </w:pPr>
      <w:r>
        <w:rPr>
          <w:bCs/>
          <w:b/>
        </w:rPr>
        <w:t xml:space="preserve">Bank Name:</w:t>
      </w:r>
      <w:r>
        <w:t xml:space="preserve"> </w:t>
      </w:r>
      <w:r>
        <w:t xml:space="preserve">Bank of China, Shanghai Pudong Branch</w:t>
      </w:r>
    </w:p>
    <w:p>
      <w:pPr>
        <w:pStyle w:val="BodyText"/>
      </w:pPr>
      <w:r>
        <w:rPr>
          <w:bCs/>
          <w:b/>
        </w:rPr>
        <w:t xml:space="preserve">Account Name:</w:t>
      </w:r>
      <w:r>
        <w:t xml:space="preserve"> </w:t>
      </w:r>
      <w:r>
        <w:t xml:space="preserve">Shanghai Horizon Architects Co., Ltd.</w:t>
      </w:r>
    </w:p>
    <w:p>
      <w:pPr>
        <w:pStyle w:val="BodyText"/>
      </w:pPr>
      <w:r>
        <w:rPr>
          <w:bCs/>
          <w:b/>
        </w:rPr>
        <w:t xml:space="preserve">Account Number:</w:t>
      </w:r>
      <w:r>
        <w:t xml:space="preserve"> </w:t>
      </w:r>
      <w:r>
        <w:t xml:space="preserve">4523 8899 0011 2233</w:t>
      </w:r>
    </w:p>
    <w:p>
      <w:pPr>
        <w:pStyle w:val="BodyText"/>
      </w:pPr>
      <w:r>
        <w:rPr>
          <w:bCs/>
          <w:b/>
        </w:rPr>
        <w:t xml:space="preserve">SWIFT Code:</w:t>
      </w:r>
      <w:r>
        <w:t xml:space="preserve"> </w:t>
      </w:r>
      <w:r>
        <w:t xml:space="preserve">BKCHCNBJ300</w:t>
      </w:r>
    </w:p>
    <w:p>
      <w:pPr>
        <w:pStyle w:val="BodyText"/>
      </w:pPr>
      <w:r>
        <w:rPr>
          <w:bCs/>
          <w:b/>
        </w:rPr>
        <w:t xml:space="preserve">Reference:</w:t>
      </w:r>
      <w:r>
        <w:t xml:space="preserve"> </w:t>
      </w:r>
      <w:r>
        <w:t xml:space="preserve">Please quote Invoice Number INV-SH-2023-0892.</w:t>
      </w:r>
    </w:p>
    <w:p>
      <w:pPr>
        <w:pStyle w:val="BodyText"/>
      </w:pPr>
      <w:r>
        <w:br/>
      </w:r>
      <w:r>
        <w:rPr>
          <w:bCs/>
          <w:b/>
        </w:rPr>
        <w:t xml:space="preserve">Important:</w:t>
      </w:r>
      <w:r>
        <w:t xml:space="preserve"> </w:t>
      </w:r>
      <w:r>
        <w:t xml:space="preserve">This invoice reflects professional architectural services rendered in accordance with the contract signed on August 1, 2023. All designs are the intellectual property of Shanghai Horizon Architects until full payment is received. The architect reserves the right to withhold further services if payment terms are not met. This document serves as a formal request for payment for work completed in Shanghai, China.</w:t>
      </w:r>
    </w:p>
    <w:bookmarkEnd w:id="24"/>
    <w:p>
      <w:pPr>
        <w:pStyle w:val="BodyText"/>
      </w:pPr>
      <w:r>
        <w:t xml:space="preserve">Shanghai Horizon Architects Co., Ltd. | Registered in Shanghai, China</w:t>
      </w:r>
    </w:p>
    <w:p>
      <w:pPr>
        <w:pStyle w:val="BodyText"/>
      </w:pPr>
      <w:r>
        <w:t xml:space="preserve">Thank you for your business. We look forward to continuing our collaboration on this landmark project.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Shanghai, China</dc:title>
  <dc:creator/>
  <dc:language>en</dc:language>
  <cp:keywords/>
  <dcterms:created xsi:type="dcterms:W3CDTF">2026-10-10T04:00:05Z</dcterms:created>
  <dcterms:modified xsi:type="dcterms:W3CDTF">2026-10-10T04:00:05Z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