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Architectural</w:t>
      </w:r>
      <w:r>
        <w:t xml:space="preserve"> </w:t>
      </w:r>
      <w:r>
        <w:t xml:space="preserve">Services</w:t>
      </w:r>
      <w:r>
        <w:t xml:space="preserve"> </w:t>
      </w:r>
      <w:r>
        <w:t xml:space="preserve">Invoice</w:t>
      </w:r>
      <w:r>
        <w:t xml:space="preserve"> </w:t>
      </w:r>
      <w:r>
        <w:t xml:space="preserve">-</w:t>
      </w:r>
      <w:r>
        <w:t xml:space="preserve"> </w:t>
      </w:r>
      <w:r>
        <w:t xml:space="preserve">Bogotá,</w:t>
      </w:r>
      <w:r>
        <w:t xml:space="preserve"> </w:t>
      </w:r>
      <w:r>
        <w:t xml:space="preserve">Colombia</w:t>
      </w:r>
    </w:p>
    <w:bookmarkStart w:id="20" w:name="estudio-urbano-bogotá"/>
    <w:p>
      <w:pPr>
        <w:pStyle w:val="Heading1"/>
      </w:pPr>
      <w:r>
        <w:t xml:space="preserve">Estudio Urbano Bogotá</w:t>
      </w:r>
    </w:p>
    <w:p>
      <w:pPr>
        <w:pStyle w:val="FirstParagraph"/>
      </w:pPr>
      <w:r>
        <w:rPr>
          <w:bCs/>
          <w:b/>
        </w:rPr>
        <w:t xml:space="preserve">Professional Architectural Services</w:t>
      </w:r>
    </w:p>
    <w:p>
      <w:pPr>
        <w:pStyle w:val="BodyText"/>
      </w:pPr>
      <w:r>
        <w:t xml:space="preserve">Cra 7 # 71-23, Oficina 405, Chapinero</w:t>
      </w:r>
    </w:p>
    <w:p>
      <w:pPr>
        <w:pStyle w:val="BodyText"/>
      </w:pPr>
      <w:r>
        <w:t xml:space="preserve">Bogotá D.C., Colombia</w:t>
      </w:r>
    </w:p>
    <w:p>
      <w:pPr>
        <w:pStyle w:val="BodyText"/>
      </w:pPr>
      <w:r>
        <w:t xml:space="preserve">NIT: 900.123.456-7</w:t>
      </w:r>
    </w:p>
    <w:p>
      <w:pPr>
        <w:pStyle w:val="BodyText"/>
      </w:pPr>
      <w:r>
        <w:t xml:space="preserve">License No. 123456 (Cámara Colombiana de la Construcción)</w:t>
      </w:r>
    </w:p>
    <w:p>
      <w:pPr>
        <w:pStyle w:val="BodyText"/>
      </w:pPr>
      <w:r>
        <w:t xml:space="preserve">Email: billing@estudiourbanobogota.com.co</w:t>
      </w:r>
    </w:p>
    <w:p>
      <w:pPr>
        <w:pStyle w:val="BodyText"/>
      </w:pPr>
      <w:r>
        <w:t xml:space="preserve">Phone: +57 (1) 234 5678</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INV-2023-10-045</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07, 2023</w:t>
      </w:r>
    </w:p>
    <w:p>
      <w:pPr>
        <w:pStyle w:val="BodyText"/>
      </w:pPr>
      <w:r>
        <w:rPr>
          <w:bCs/>
          <w:b/>
        </w:rPr>
        <w:t xml:space="preserve">Project Phase:</w:t>
      </w:r>
      <w:r>
        <w:t xml:space="preserve"> </w:t>
      </w:r>
      <w:r>
        <w:t xml:space="preserve">Preliminary Design &amp; Feasibility</w:t>
      </w:r>
    </w:p>
    <w:bookmarkEnd w:id="21"/>
    <w:bookmarkStart w:id="22" w:name="bill-to"/>
    <w:p>
      <w:pPr>
        <w:pStyle w:val="Heading3"/>
      </w:pPr>
      <w:r>
        <w:t xml:space="preserve">Bill To</w:t>
      </w:r>
    </w:p>
    <w:p>
      <w:pPr>
        <w:pStyle w:val="FirstParagraph"/>
      </w:pPr>
      <w:r>
        <w:rPr>
          <w:bCs/>
          <w:b/>
        </w:rPr>
        <w:t xml:space="preserve">Client Name:</w:t>
      </w:r>
      <w:r>
        <w:t xml:space="preserve"> </w:t>
      </w:r>
      <w:r>
        <w:t xml:space="preserve">Grupo Inmobiliario Andino S.A.S.</w:t>
      </w:r>
    </w:p>
    <w:p>
      <w:pPr>
        <w:pStyle w:val="BodyText"/>
      </w:pPr>
      <w:r>
        <w:rPr>
          <w:bCs/>
          <w:b/>
        </w:rPr>
        <w:t xml:space="preserve">Attn:</w:t>
      </w:r>
      <w:r>
        <w:t xml:space="preserve"> </w:t>
      </w:r>
      <w:r>
        <w:t xml:space="preserve">Mr. Carlos Andrés Mejía, Project Director</w:t>
      </w:r>
    </w:p>
    <w:p>
      <w:pPr>
        <w:pStyle w:val="BodyText"/>
      </w:pPr>
      <w:r>
        <w:rPr>
          <w:bCs/>
          <w:b/>
        </w:rPr>
        <w:t xml:space="preserve">Address:</w:t>
      </w:r>
      <w:r>
        <w:t xml:space="preserve"> </w:t>
      </w:r>
      <w:r>
        <w:t xml:space="preserve">Av. El Dorado # 68-40, Torre B, Piso 12</w:t>
      </w:r>
    </w:p>
    <w:p>
      <w:pPr>
        <w:pStyle w:val="BodyText"/>
      </w:pPr>
      <w:r>
        <w:rPr>
          <w:bCs/>
          <w:b/>
        </w:rPr>
        <w:t xml:space="preserve">City:</w:t>
      </w:r>
      <w:r>
        <w:t xml:space="preserve"> </w:t>
      </w:r>
      <w:r>
        <w:t xml:space="preserve">Bogotá D.C., Colombia</w:t>
      </w:r>
    </w:p>
    <w:p>
      <w:pPr>
        <w:pStyle w:val="BodyText"/>
      </w:pPr>
      <w:r>
        <w:rPr>
          <w:bCs/>
          <w:b/>
        </w:rPr>
        <w:t xml:space="preserve">NIT:</w:t>
      </w:r>
      <w:r>
        <w:t xml:space="preserve"> </w:t>
      </w:r>
      <w:r>
        <w:t xml:space="preserve">800.987.654-3</w:t>
      </w:r>
    </w:p>
    <w:bookmarkEnd w:id="22"/>
    <w:bookmarkStart w:id="23" w:name="project-details"/>
    <w:p>
      <w:pPr>
        <w:pStyle w:val="Heading3"/>
      </w:pPr>
      <w:r>
        <w:t xml:space="preserve">Project Details</w:t>
      </w:r>
    </w:p>
    <w:p>
      <w:pPr>
        <w:pStyle w:val="FirstParagraph"/>
      </w:pPr>
      <w:r>
        <w:rPr>
          <w:bCs/>
          <w:b/>
        </w:rPr>
        <w:t xml:space="preserve">Project Name:</w:t>
      </w:r>
      <w:r>
        <w:t xml:space="preserve"> </w:t>
      </w:r>
      <w:r>
        <w:t xml:space="preserve">Residencial Los Alamos - Phase II</w:t>
      </w:r>
    </w:p>
    <w:p>
      <w:pPr>
        <w:pStyle w:val="BodyText"/>
      </w:pPr>
      <w:r>
        <w:rPr>
          <w:bCs/>
          <w:b/>
        </w:rPr>
        <w:t xml:space="preserve">Location:</w:t>
      </w:r>
      <w:r>
        <w:t xml:space="preserve"> </w:t>
      </w:r>
      <w:r>
        <w:t xml:space="preserve">Calle 137 # 15-20, Usaquén, Bogotá</w:t>
      </w:r>
    </w:p>
    <w:p>
      <w:pPr>
        <w:pStyle w:val="BodyText"/>
      </w:pPr>
      <w:r>
        <w:rPr>
          <w:bCs/>
          <w:b/>
        </w:rPr>
        <w:t xml:space="preserve">Description:</w:t>
      </w:r>
      <w:r>
        <w:t xml:space="preserve"> </w:t>
      </w:r>
      <w:r>
        <w:t xml:space="preserve">Architectural design for mixed-use residential complex including structural coordination, urban planning compliance with Bogotá's POT (Plan de Ordenamiento Territorial), and sustainability integration.</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Architectural Services</w:t>
            </w:r>
          </w:p>
        </w:tc>
        <w:tc>
          <w:tcPr/>
          <w:p>
            <w:pPr>
              <w:pStyle w:val="Compact"/>
              <w:jc w:val="left"/>
            </w:pPr>
            <w:r>
              <w:t xml:space="preserve">Hours / Units</w:t>
            </w:r>
          </w:p>
        </w:tc>
        <w:tc>
          <w:tcPr/>
          <w:p>
            <w:pPr>
              <w:pStyle w:val="Compact"/>
              <w:jc w:val="left"/>
            </w:pPr>
            <w:r>
              <w:t xml:space="preserve">Unit Price (COP)</w:t>
            </w:r>
          </w:p>
        </w:tc>
        <w:tc>
          <w:tcPr/>
          <w:p>
            <w:pPr>
              <w:pStyle w:val="Compact"/>
              <w:jc w:val="left"/>
            </w:pPr>
            <w:r>
              <w:t xml:space="preserve">Total (COP)</w:t>
            </w:r>
          </w:p>
        </w:tc>
      </w:tr>
      <w:tr>
        <w:tc>
          <w:tcPr/>
          <w:p>
            <w:pPr>
              <w:pStyle w:val="Compact"/>
              <w:jc w:val="left"/>
            </w:pPr>
            <w:r>
              <w:t xml:space="preserve">1</w:t>
            </w:r>
          </w:p>
        </w:tc>
        <w:tc>
          <w:tcPr/>
          <w:p>
            <w:pPr>
              <w:pStyle w:val="Compact"/>
              <w:jc w:val="left"/>
            </w:pPr>
            <w:r>
              <w:rPr>
                <w:bCs/>
                <w:b/>
              </w:rPr>
              <w:t xml:space="preserve">Site Analysis &amp; Urban Context Study:</w:t>
            </w:r>
            <w:r>
              <w:t xml:space="preserve"> </w:t>
            </w:r>
            <w:r>
              <w:t xml:space="preserve">Comprehensive evaluation of the terrain in Usaquén, Bogotá. Includes topographical review, solar orientation analysis, and wind pattern assessment to optimize building placement according to local zoning regulations.</w:t>
            </w:r>
          </w:p>
        </w:tc>
        <w:tc>
          <w:tcPr/>
          <w:p>
            <w:pPr>
              <w:pStyle w:val="Compact"/>
              <w:jc w:val="left"/>
            </w:pPr>
            <w:r>
              <w:t xml:space="preserve">40</w:t>
            </w:r>
          </w:p>
        </w:tc>
        <w:tc>
          <w:tcPr/>
          <w:p>
            <w:pPr>
              <w:pStyle w:val="Compact"/>
              <w:jc w:val="left"/>
            </w:pPr>
            <w:r>
              <w:t xml:space="preserve">$250,000</w:t>
            </w:r>
          </w:p>
        </w:tc>
        <w:tc>
          <w:tcPr/>
          <w:p>
            <w:pPr>
              <w:pStyle w:val="Compact"/>
              <w:jc w:val="left"/>
            </w:pPr>
            <w:r>
              <w:t xml:space="preserve">$10,000,000</w:t>
            </w:r>
          </w:p>
        </w:tc>
      </w:tr>
      <w:tr>
        <w:tc>
          <w:tcPr/>
          <w:p>
            <w:pPr>
              <w:pStyle w:val="Compact"/>
              <w:jc w:val="left"/>
            </w:pPr>
            <w:r>
              <w:t xml:space="preserve">2</w:t>
            </w:r>
          </w:p>
        </w:tc>
        <w:tc>
          <w:tcPr/>
          <w:p>
            <w:pPr>
              <w:pStyle w:val="Compact"/>
              <w:jc w:val="left"/>
            </w:pPr>
            <w:r>
              <w:rPr>
                <w:bCs/>
                <w:b/>
              </w:rPr>
              <w:t xml:space="preserve">Conceptual Design Development:</w:t>
            </w:r>
            <w:r>
              <w:t xml:space="preserve"> </w:t>
            </w:r>
            <w:r>
              <w:t xml:space="preserve">Creation of initial architectural concepts, massing models, and spatial layouts. This phase involves three distinct design proposals focusing on modern Colombian aesthetics, maximizing natural light, and integrating green spaces typical of Bogotá's high-altitude environment.</w:t>
            </w:r>
          </w:p>
        </w:tc>
        <w:tc>
          <w:tcPr/>
          <w:p>
            <w:pPr>
              <w:pStyle w:val="Compact"/>
              <w:jc w:val="left"/>
            </w:pPr>
            <w:r>
              <w:t xml:space="preserve">1</w:t>
            </w:r>
          </w:p>
        </w:tc>
        <w:tc>
          <w:tcPr/>
          <w:p>
            <w:pPr>
              <w:pStyle w:val="Compact"/>
              <w:jc w:val="left"/>
            </w:pPr>
            <w:r>
              <w:t xml:space="preserve">$45,000,000</w:t>
            </w:r>
          </w:p>
        </w:tc>
        <w:tc>
          <w:tcPr/>
          <w:p>
            <w:pPr>
              <w:pStyle w:val="Compact"/>
              <w:jc w:val="left"/>
            </w:pPr>
            <w:r>
              <w:t xml:space="preserve">$45,000,000</w:t>
            </w:r>
          </w:p>
        </w:tc>
      </w:tr>
      <w:tr>
        <w:tc>
          <w:tcPr/>
          <w:p>
            <w:pPr>
              <w:pStyle w:val="Compact"/>
              <w:jc w:val="left"/>
            </w:pPr>
            <w:r>
              <w:t xml:space="preserve">3</w:t>
            </w:r>
          </w:p>
        </w:tc>
        <w:tc>
          <w:tcPr/>
          <w:p>
            <w:pPr>
              <w:pStyle w:val="Compact"/>
              <w:jc w:val="left"/>
            </w:pPr>
            <w:r>
              <w:rPr>
                <w:bCs/>
                <w:b/>
              </w:rPr>
              <w:t xml:space="preserve">Regulatory Compliance &amp; Permitting Support:</w:t>
            </w:r>
            <w:r>
              <w:t xml:space="preserve"> </w:t>
            </w:r>
            <w:r>
              <w:t xml:space="preserve">Preparation of documentation required by the Secretaría de Planeación Distrital. Ensuring the design adheres to the current Plan de Ordenamiento Territorial (POT) of Bogotá, including setbacks, floor area ratios (FAR), and parking requirements.</w:t>
            </w:r>
          </w:p>
        </w:tc>
        <w:tc>
          <w:tcPr/>
          <w:p>
            <w:pPr>
              <w:pStyle w:val="Compact"/>
              <w:jc w:val="left"/>
            </w:pPr>
            <w:r>
              <w:t xml:space="preserve">25</w:t>
            </w:r>
          </w:p>
        </w:tc>
        <w:tc>
          <w:tcPr/>
          <w:p>
            <w:pPr>
              <w:pStyle w:val="Compact"/>
              <w:jc w:val="left"/>
            </w:pPr>
            <w:r>
              <w:t xml:space="preserve">$200,000</w:t>
            </w:r>
          </w:p>
        </w:tc>
        <w:tc>
          <w:tcPr/>
          <w:p>
            <w:pPr>
              <w:pStyle w:val="Compact"/>
              <w:jc w:val="left"/>
            </w:pPr>
            <w:r>
              <w:t xml:space="preserve">$5,000,000</w:t>
            </w:r>
          </w:p>
        </w:tc>
      </w:tr>
      <w:tr>
        <w:tc>
          <w:tcPr/>
          <w:p>
            <w:pPr>
              <w:pStyle w:val="Compact"/>
              <w:jc w:val="left"/>
            </w:pPr>
            <w:r>
              <w:t xml:space="preserve">4</w:t>
            </w:r>
          </w:p>
        </w:tc>
        <w:tc>
          <w:tcPr/>
          <w:p>
            <w:pPr>
              <w:pStyle w:val="Compact"/>
              <w:jc w:val="left"/>
            </w:pPr>
            <w:r>
              <w:rPr>
                <w:bCs/>
                <w:b/>
              </w:rPr>
              <w:t xml:space="preserve">Sustainability &amp; Energy Efficiency Consulting:</w:t>
            </w:r>
            <w:r>
              <w:t xml:space="preserve"> </w:t>
            </w:r>
            <w:r>
              <w:t xml:space="preserve">Integration of passive design strategies suitable for Bogotá's climate. Recommendations for insulation, glazing, and renewable energy systems to meet the city's sustainability goals and reduce long-term operational costs.</w:t>
            </w:r>
          </w:p>
        </w:tc>
        <w:tc>
          <w:tcPr/>
          <w:p>
            <w:pPr>
              <w:pStyle w:val="Compact"/>
              <w:jc w:val="left"/>
            </w:pPr>
            <w:r>
              <w:t xml:space="preserve">15</w:t>
            </w:r>
          </w:p>
        </w:tc>
        <w:tc>
          <w:tcPr/>
          <w:p>
            <w:pPr>
              <w:pStyle w:val="Compact"/>
              <w:jc w:val="left"/>
            </w:pPr>
            <w:r>
              <w:t xml:space="preserve">$220,000</w:t>
            </w:r>
          </w:p>
        </w:tc>
        <w:tc>
          <w:tcPr/>
          <w:p>
            <w:pPr>
              <w:pStyle w:val="Compact"/>
              <w:jc w:val="left"/>
            </w:pPr>
            <w:r>
              <w:t xml:space="preserve">$3,300,000</w:t>
            </w:r>
          </w:p>
        </w:tc>
      </w:tr>
      <w:tr>
        <w:tc>
          <w:tcPr/>
          <w:p>
            <w:pPr>
              <w:pStyle w:val="Compact"/>
              <w:jc w:val="left"/>
            </w:pPr>
            <w:r>
              <w:t xml:space="preserve">5</w:t>
            </w:r>
          </w:p>
        </w:tc>
        <w:tc>
          <w:tcPr/>
          <w:p>
            <w:pPr>
              <w:pStyle w:val="Compact"/>
              <w:jc w:val="left"/>
            </w:pPr>
            <w:r>
              <w:rPr>
                <w:bCs/>
                <w:b/>
              </w:rPr>
              <w:t xml:space="preserve">3D Visualization &amp; Rendering:</w:t>
            </w:r>
            <w:r>
              <w:t xml:space="preserve"> </w:t>
            </w:r>
            <w:r>
              <w:t xml:space="preserve">High-quality photorealistic renderings of the exterior and key interior spaces to assist in marketing and stakeholder approval. Includes two drone-view perspectives showing the building's relationship with the surrounding neighborhood.</w:t>
            </w:r>
          </w:p>
        </w:tc>
        <w:tc>
          <w:tcPr/>
          <w:p>
            <w:pPr>
              <w:pStyle w:val="Compact"/>
              <w:jc w:val="left"/>
            </w:pPr>
            <w:r>
              <w:t xml:space="preserve">8</w:t>
            </w:r>
          </w:p>
        </w:tc>
        <w:tc>
          <w:tcPr/>
          <w:p>
            <w:pPr>
              <w:pStyle w:val="Compact"/>
              <w:jc w:val="left"/>
            </w:pPr>
            <w:r>
              <w:t xml:space="preserve">$1,500,000</w:t>
            </w:r>
          </w:p>
        </w:tc>
        <w:tc>
          <w:tcPr/>
          <w:p>
            <w:pPr>
              <w:pStyle w:val="Compact"/>
              <w:jc w:val="left"/>
            </w:pPr>
            <w:r>
              <w:t xml:space="preserve">$12,000,000</w:t>
            </w:r>
          </w:p>
        </w:tc>
      </w:tr>
      <w:tr>
        <w:tc>
          <w:tcPr/>
          <w:p>
            <w:pPr>
              <w:pStyle w:val="Compact"/>
              <w:jc w:val="left"/>
            </w:pPr>
            <w:r>
              <w:t xml:space="preserve">6</w:t>
            </w:r>
          </w:p>
        </w:tc>
        <w:tc>
          <w:tcPr/>
          <w:p>
            <w:pPr>
              <w:pStyle w:val="Compact"/>
              <w:jc w:val="left"/>
            </w:pPr>
            <w:r>
              <w:rPr>
                <w:bCs/>
                <w:b/>
              </w:rPr>
              <w:t xml:space="preserve">Coordination with Structural &amp; MEP Engineers:</w:t>
            </w:r>
            <w:r>
              <w:t xml:space="preserve"> </w:t>
            </w:r>
            <w:r>
              <w:t xml:space="preserve">Initial coordination meetings to ensure architectural intent aligns with structural feasibility and mechanical, electrical, and plumbing systems. Essential for complex projects in Bogotá's seismic zone.</w:t>
            </w:r>
          </w:p>
        </w:tc>
        <w:tc>
          <w:tcPr/>
          <w:p>
            <w:pPr>
              <w:pStyle w:val="Compact"/>
              <w:jc w:val="left"/>
            </w:pPr>
            <w:r>
              <w:t xml:space="preserve">10</w:t>
            </w:r>
          </w:p>
        </w:tc>
        <w:tc>
          <w:tcPr/>
          <w:p>
            <w:pPr>
              <w:pStyle w:val="Compact"/>
              <w:jc w:val="left"/>
            </w:pPr>
            <w:r>
              <w:t xml:space="preserve">$200,000</w:t>
            </w:r>
          </w:p>
        </w:tc>
        <w:tc>
          <w:tcPr/>
          <w:p>
            <w:pPr>
              <w:pStyle w:val="Compact"/>
              <w:jc w:val="left"/>
            </w:pPr>
            <w:r>
              <w:t xml:space="preserve">$2,000,000</w:t>
            </w:r>
          </w:p>
        </w:tc>
      </w:tr>
    </w:tbl>
    <w:p>
      <w:pPr>
        <w:pStyle w:val="BodyText"/>
      </w:pPr>
      <w:r>
        <w:t xml:space="preserve">Subtotal:</w:t>
      </w:r>
      <w:r>
        <w:t xml:space="preserve"> </w:t>
      </w:r>
      <w:r>
        <w:t xml:space="preserve">$77,300,000</w:t>
      </w:r>
    </w:p>
    <w:p>
      <w:pPr>
        <w:pStyle w:val="BodyText"/>
      </w:pPr>
      <w:r>
        <w:t xml:space="preserve">IVA (19% - Value Added Tax):</w:t>
      </w:r>
      <w:r>
        <w:t xml:space="preserve"> </w:t>
      </w:r>
      <w:r>
        <w:t xml:space="preserve">$14,687,000</w:t>
      </w:r>
    </w:p>
    <w:p>
      <w:pPr>
        <w:pStyle w:val="BodyText"/>
      </w:pPr>
      <w:r>
        <w:t xml:space="preserve">Discount (Early Payment):</w:t>
      </w:r>
      <w:r>
        <w:t xml:space="preserve"> </w:t>
      </w:r>
      <w:r>
        <w:t xml:space="preserve">-$0</w:t>
      </w:r>
    </w:p>
    <w:p>
      <w:pPr>
        <w:pStyle w:val="BodyText"/>
      </w:pPr>
      <w:r>
        <w:t xml:space="preserve">TOTAL DUE (COP):</w:t>
      </w:r>
      <w:r>
        <w:t xml:space="preserve"> </w:t>
      </w:r>
      <w:r>
        <w:t xml:space="preserve">$91,987,000</w:t>
      </w:r>
    </w:p>
    <w:p>
      <w:pPr>
        <w:pStyle w:val="BodyText"/>
      </w:pPr>
      <w:r>
        <w:t xml:space="preserve">Amount in words: Ninety-one million nine hundred eighty-seven thousand Colombian Pesos.</w:t>
      </w:r>
    </w:p>
    <w:bookmarkStart w:id="24" w:name="payment-terms-banking-information"/>
    <w:p>
      <w:pPr>
        <w:pStyle w:val="Heading4"/>
      </w:pPr>
      <w:r>
        <w:t xml:space="preserve">Payment Terms &amp; Banking Information</w:t>
      </w:r>
    </w:p>
    <w:p>
      <w:pPr>
        <w:pStyle w:val="FirstParagraph"/>
      </w:pPr>
      <w:r>
        <w:rPr>
          <w:bCs/>
          <w:b/>
        </w:rPr>
        <w:t xml:space="preserve">Payment Method:</w:t>
      </w:r>
      <w:r>
        <w:t xml:space="preserve"> </w:t>
      </w:r>
      <w:r>
        <w:t xml:space="preserve">Bank Transfer (Transferencia Bancaria)</w:t>
      </w:r>
    </w:p>
    <w:p>
      <w:pPr>
        <w:pStyle w:val="BodyText"/>
      </w:pPr>
      <w:r>
        <w:rPr>
          <w:bCs/>
          <w:b/>
        </w:rPr>
        <w:t xml:space="preserve">Bank:</w:t>
      </w:r>
      <w:r>
        <w:t xml:space="preserve"> </w:t>
      </w:r>
      <w:r>
        <w:t xml:space="preserve">Bancolombia</w:t>
      </w:r>
    </w:p>
    <w:p>
      <w:pPr>
        <w:pStyle w:val="BodyText"/>
      </w:pPr>
      <w:r>
        <w:rPr>
          <w:bCs/>
          <w:b/>
        </w:rPr>
        <w:t xml:space="preserve">Account Type:</w:t>
      </w:r>
      <w:r>
        <w:t xml:space="preserve"> </w:t>
      </w:r>
      <w:r>
        <w:t xml:space="preserve">Checking (Cuenta de Ahorros)</w:t>
      </w:r>
    </w:p>
    <w:p>
      <w:pPr>
        <w:pStyle w:val="BodyText"/>
      </w:pPr>
      <w:r>
        <w:rPr>
          <w:bCs/>
          <w:b/>
        </w:rPr>
        <w:t xml:space="preserve">Account Number:</w:t>
      </w:r>
      <w:r>
        <w:t xml:space="preserve"> </w:t>
      </w:r>
      <w:r>
        <w:t xml:space="preserve">123-456789-00</w:t>
      </w:r>
    </w:p>
    <w:p>
      <w:pPr>
        <w:pStyle w:val="BodyText"/>
      </w:pPr>
      <w:r>
        <w:rPr>
          <w:bCs/>
          <w:b/>
        </w:rPr>
        <w:t xml:space="preserve">Reference:</w:t>
      </w:r>
      <w:r>
        <w:t xml:space="preserve"> </w:t>
      </w:r>
      <w:r>
        <w:t xml:space="preserve">INV-2023-10-045</w:t>
      </w:r>
    </w:p>
    <w:p>
      <w:pPr>
        <w:pStyle w:val="BodyText"/>
      </w:pPr>
      <w:r>
        <w:br/>
      </w:r>
    </w:p>
    <w:p>
      <w:pPr>
        <w:pStyle w:val="BodyText"/>
      </w:pPr>
      <w:r>
        <w:rPr>
          <w:bCs/>
          <w:b/>
        </w:rPr>
        <w:t xml:space="preserve">Terms:</w:t>
      </w:r>
      <w:r>
        <w:t xml:space="preserve"> </w:t>
      </w:r>
      <w:r>
        <w:t xml:space="preserve">Payment is due within 14 days of the invoice date. Late payments may incur a penalty of 1.5% per month as per Colombian commercial law. Please ensure the NIT is included in the transfer reference for proper accounting.</w:t>
      </w:r>
    </w:p>
    <w:p>
      <w:pPr>
        <w:pStyle w:val="BodyText"/>
      </w:pPr>
      <w:r>
        <w:br/>
      </w:r>
    </w:p>
    <w:bookmarkEnd w:id="24"/>
    <w:bookmarkStart w:id="25" w:name="important-notes"/>
    <w:p>
      <w:pPr>
        <w:pStyle w:val="Heading4"/>
      </w:pPr>
      <w:r>
        <w:t xml:space="preserve">Important Notes</w:t>
      </w:r>
    </w:p>
    <w:p>
      <w:pPr>
        <w:pStyle w:val="FirstParagraph"/>
      </w:pPr>
      <w:r>
        <w:t xml:space="preserve">This invoice represents professional architectural services rendered in accordance with the contract signed on September 15, 2023. All designs are the intellectual property of Estudio Urbano Bogotá until full payment is received. The client is responsible for obtaining final construction permits from the local authorities in Bogotá D.C. Any changes to the scope of work must be approved in writing via a Change Order.</w:t>
      </w:r>
    </w:p>
    <w:bookmarkEnd w:id="25"/>
    <w:p>
      <w:pPr>
        <w:pStyle w:val="BodyText"/>
      </w:pPr>
      <w:r>
        <w:rPr>
          <w:bCs/>
          <w:b/>
        </w:rPr>
        <w:t xml:space="preserve">Authorized Signature (Architect)</w:t>
      </w:r>
    </w:p>
    <w:p>
      <w:pPr>
        <w:pStyle w:val="BodyText"/>
      </w:pPr>
      <w:r>
        <w:t xml:space="preserve">Juan Pablo Restrepo, M.Arch.</w:t>
      </w:r>
    </w:p>
    <w:p>
      <w:pPr>
        <w:pStyle w:val="BodyText"/>
      </w:pPr>
      <w:r>
        <w:t xml:space="preserve">Principal Architect</w:t>
      </w:r>
    </w:p>
    <w:p>
      <w:pPr>
        <w:pStyle w:val="BodyText"/>
      </w:pPr>
      <w:r>
        <w:t xml:space="preserve">Estudio Urbano Bogotá</w:t>
      </w:r>
    </w:p>
    <w:p>
      <w:pPr>
        <w:pStyle w:val="BodyText"/>
      </w:pPr>
      <w:r>
        <w:rPr>
          <w:bCs/>
          <w:b/>
        </w:rPr>
        <w:t xml:space="preserve">Client Acceptance</w:t>
      </w:r>
    </w:p>
    <w:p>
      <w:pPr>
        <w:pStyle w:val="BodyText"/>
      </w:pPr>
      <w:r>
        <w:t xml:space="preserve">__________________________</w:t>
      </w:r>
    </w:p>
    <w:p>
      <w:pPr>
        <w:pStyle w:val="BodyText"/>
      </w:pPr>
      <w:r>
        <w:t xml:space="preserve">Carlos Andrés Mejía</w:t>
      </w:r>
    </w:p>
    <w:p>
      <w:pPr>
        <w:pStyle w:val="BodyText"/>
      </w:pPr>
      <w:r>
        <w:t xml:space="preserve">Project Director</w:t>
      </w:r>
    </w:p>
    <w:p>
      <w:pPr>
        <w:pStyle w:val="BodyText"/>
      </w:pPr>
      <w:r>
        <w:t xml:space="preserve">Grupo Inmobiliario Andino S.A.S.</w:t>
      </w:r>
    </w:p>
    <w:p>
      <w:pPr>
        <w:pStyle w:val="BodyText"/>
      </w:pPr>
      <w:r>
        <w:t xml:space="preserve">Thank you for choosing Estudio Urbano Bogotá for your architectural needs.</w:t>
      </w:r>
    </w:p>
    <w:p>
      <w:pPr>
        <w:pStyle w:val="BodyText"/>
      </w:pPr>
      <w:r>
        <w:t xml:space="preserve">We are committed to shaping the future skyline of Colombia with innovation, sustainability, and cultural respect.</w:t>
      </w:r>
    </w:p>
    <w:p>
      <w:pPr>
        <w:pStyle w:val="BodyText"/>
      </w:pPr>
      <w:r>
        <w:t xml:space="preserve">© 2023 Estudio Urbano Bogotá.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Architectural Services Invoice - Bogotá, Colombia</dc:title>
  <dc:creator/>
  <dc:language>en</dc:language>
  <cp:keywords/>
  <dcterms:created xsi:type="dcterms:W3CDTF">2026-10-10T08:02:54Z</dcterms:created>
  <dcterms:modified xsi:type="dcterms:W3CDTF">2026-10-10T08:02:54Z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