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Medellín,</w:t>
      </w:r>
      <w:r>
        <w:t xml:space="preserve"> </w:t>
      </w:r>
      <w:r>
        <w:t xml:space="preserve">Colombia</w:t>
      </w:r>
    </w:p>
    <w:bookmarkStart w:id="20" w:name="andes-urban-design-studio"/>
    <w:p>
      <w:pPr>
        <w:pStyle w:val="Heading1"/>
      </w:pPr>
      <w:r>
        <w:t xml:space="preserve">Andes Urban Design Studio</w:t>
      </w:r>
    </w:p>
    <w:p>
      <w:pPr>
        <w:pStyle w:val="FirstParagraph"/>
      </w:pPr>
      <w:r>
        <w:t xml:space="preserve">Professional Architectural Services</w:t>
      </w:r>
    </w:p>
    <w:p>
      <w:pPr>
        <w:pStyle w:val="BodyText"/>
      </w:pPr>
      <w:r>
        <w:t xml:space="preserve">Calle 73 #45-12, Oficina 301, El Poblado</w:t>
      </w:r>
    </w:p>
    <w:p>
      <w:pPr>
        <w:pStyle w:val="BodyText"/>
      </w:pPr>
      <w:r>
        <w:t xml:space="preserve">Medellín, Antioquia, Colombia</w:t>
      </w:r>
    </w:p>
    <w:p>
      <w:pPr>
        <w:pStyle w:val="BodyText"/>
      </w:pPr>
      <w:r>
        <w:t xml:space="preserve">NIT: 900.123.456-7</w:t>
      </w:r>
    </w:p>
    <w:p>
      <w:pPr>
        <w:pStyle w:val="BodyText"/>
      </w:pPr>
      <w:r>
        <w:t xml:space="preserve">Phone: +57 (4) 444-5555 | Email: billing@andesurban.co</w:t>
      </w:r>
    </w:p>
    <w:bookmarkEnd w:id="20"/>
    <w:bookmarkStart w:id="21" w:name="invoice"/>
    <w:p>
      <w:pPr>
        <w:pStyle w:val="Heading2"/>
      </w:pPr>
      <w:r>
        <w:t xml:space="preserve">INVOICE</w:t>
      </w:r>
    </w:p>
    <w:p>
      <w:pPr>
        <w:pStyle w:val="FirstParagraph"/>
      </w:pPr>
      <w:r>
        <w:t xml:space="preserve">Official Tax Document</w:t>
      </w:r>
    </w:p>
    <w:bookmarkEnd w:id="21"/>
    <w:p>
      <w:pPr>
        <w:pStyle w:val="BodyText"/>
      </w:pPr>
      <w:r>
        <w:t xml:space="preserve">Bill To:</w:t>
      </w:r>
    </w:p>
    <w:p>
      <w:pPr>
        <w:pStyle w:val="BodyText"/>
      </w:pPr>
      <w:r>
        <w:rPr>
          <w:bCs/>
          <w:b/>
        </w:rPr>
        <w:t xml:space="preserve">Grupo Constructor El Volcán S.A.S.</w:t>
      </w:r>
    </w:p>
    <w:p>
      <w:pPr>
        <w:pStyle w:val="BodyText"/>
      </w:pPr>
      <w:r>
        <w:t xml:space="preserve">NIT: 800.987.654-3</w:t>
      </w:r>
    </w:p>
    <w:p>
      <w:pPr>
        <w:pStyle w:val="BodyText"/>
      </w:pPr>
      <w:r>
        <w:t xml:space="preserve">Carrera 43A #10-55, Laureles</w:t>
      </w:r>
    </w:p>
    <w:p>
      <w:pPr>
        <w:pStyle w:val="BodyText"/>
      </w:pPr>
      <w:r>
        <w:t xml:space="preserve">Medellín, Antioquia, Colombia</w:t>
      </w:r>
    </w:p>
    <w:p>
      <w:pPr>
        <w:pStyle w:val="BodyText"/>
      </w:pPr>
      <w:r>
        <w:t xml:space="preserve">Attn: Carlos Mendoza, Project Director</w:t>
      </w:r>
    </w:p>
    <w:p>
      <w:pPr>
        <w:pStyle w:val="BodyText"/>
      </w:pPr>
      <w:r>
        <w:t xml:space="preserve">Invoice Details:</w:t>
      </w:r>
    </w:p>
    <w:p>
      <w:pPr>
        <w:pStyle w:val="BodyText"/>
      </w:pPr>
      <w:r>
        <w:rPr>
          <w:bCs/>
          <w:b/>
        </w:rPr>
        <w:t xml:space="preserve">Invoice Number:</w:t>
      </w:r>
      <w:r>
        <w:t xml:space="preserve"> </w:t>
      </w:r>
      <w:r>
        <w:t xml:space="preserve">INV-MDE-2023-089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Residencial Las Palmas - Phase II</w:t>
      </w:r>
    </w:p>
    <w:p>
      <w:pPr>
        <w:pStyle w:val="BodyText"/>
      </w:pPr>
      <w:r>
        <w:rPr>
          <w:bCs/>
          <w:b/>
        </w:rPr>
        <w:t xml:space="preserve">Payment Method:</w:t>
      </w:r>
      <w:r>
        <w:t xml:space="preserve"> </w:t>
      </w:r>
      <w:r>
        <w:t xml:space="preserve">Bank Transfer (Nequi/Daviplata/Bancolombia)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Quantity / Hours</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Conceptual Design &amp; Feasibility Study</w:t>
            </w:r>
            <w:r>
              <w:br/>
            </w:r>
            <w:r>
              <w:t xml:space="preserve">Development of initial architectural concepts tailored to the topography of Medellín. Includes site analysis, zoning compliance checks with the Secretaría de Planeación, and preliminary massing models.</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Schematic Design Development</w:t>
            </w:r>
            <w:r>
              <w:br/>
            </w:r>
            <w:r>
              <w:t xml:space="preserve">Refinement of floor plans, elevations, and sections. Integration of sustainable design principles suitable for the Colombian climate. Coordination with structural engineers for initial load-bearing assessments.</w:t>
            </w:r>
          </w:p>
        </w:tc>
        <w:tc>
          <w:tcPr/>
          <w:p>
            <w:pPr>
              <w:pStyle w:val="Compact"/>
              <w:jc w:val="left"/>
            </w:pPr>
            <w:r>
              <w:t xml:space="preserve">1 Lot</w:t>
            </w:r>
          </w:p>
        </w:tc>
        <w:tc>
          <w:tcPr/>
          <w:p>
            <w:pPr>
              <w:pStyle w:val="Compact"/>
              <w:jc w:val="left"/>
            </w:pPr>
            <w:r>
              <w:t xml:space="preserve">$22,500,000</w:t>
            </w:r>
          </w:p>
        </w:tc>
        <w:tc>
          <w:tcPr/>
          <w:p>
            <w:pPr>
              <w:pStyle w:val="Compact"/>
              <w:jc w:val="left"/>
            </w:pPr>
            <w:r>
              <w:t xml:space="preserve">$22,500,000</w:t>
            </w:r>
          </w:p>
        </w:tc>
      </w:tr>
      <w:tr>
        <w:tc>
          <w:tcPr/>
          <w:p>
            <w:pPr>
              <w:pStyle w:val="Compact"/>
              <w:jc w:val="left"/>
            </w:pPr>
            <w:r>
              <w:t xml:space="preserve">3</w:t>
            </w:r>
          </w:p>
        </w:tc>
        <w:tc>
          <w:tcPr/>
          <w:p>
            <w:pPr>
              <w:pStyle w:val="Compact"/>
              <w:jc w:val="left"/>
            </w:pPr>
            <w:r>
              <w:rPr>
                <w:bCs/>
                <w:b/>
              </w:rPr>
              <w:t xml:space="preserve">Design Development &amp; Technical Documentation</w:t>
            </w:r>
            <w:r>
              <w:br/>
            </w:r>
            <w:r>
              <w:t xml:space="preserve">Preparation of detailed construction drawings required for the building permit application in Medellín. Includes electrical, hydraulic, and architectural schematics compliant with NSR-10 (National Seismic Resistance Code).</w:t>
            </w:r>
          </w:p>
        </w:tc>
        <w:tc>
          <w:tcPr/>
          <w:p>
            <w:pPr>
              <w:pStyle w:val="Compact"/>
              <w:jc w:val="left"/>
            </w:pPr>
            <w:r>
              <w:t xml:space="preserve">1 Lot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4</w:t>
            </w:r>
          </w:p>
        </w:tc>
        <w:tc>
          <w:tcPr/>
          <w:p>
            <w:pPr>
              <w:pStyle w:val="Compact"/>
              <w:jc w:val="left"/>
            </w:pPr>
            <w:r>
              <w:rPr>
                <w:bCs/>
                <w:b/>
              </w:rPr>
              <w:t xml:space="preserve">3D Visualization &amp; Rendering</w:t>
            </w:r>
            <w:r>
              <w:br/>
            </w:r>
            <w:r>
              <w:t xml:space="preserve">High-fidelity photorealistic renderings of exterior facades and interior common areas to assist in marketing and stakeholder approval. Includes two (2) drone simulation perspectives.</w:t>
            </w:r>
          </w:p>
        </w:tc>
        <w:tc>
          <w:tcPr/>
          <w:p>
            <w:pPr>
              <w:pStyle w:val="Compact"/>
              <w:jc w:val="left"/>
            </w:pPr>
            <w:r>
              <w:t xml:space="preserve">12 Images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5</w:t>
            </w:r>
          </w:p>
        </w:tc>
        <w:tc>
          <w:tcPr/>
          <w:p>
            <w:pPr>
              <w:pStyle w:val="Compact"/>
              <w:jc w:val="left"/>
            </w:pPr>
            <w:r>
              <w:rPr>
                <w:bCs/>
                <w:b/>
              </w:rPr>
              <w:t xml:space="preserve">Construction Administration &amp; Site Supervision</w:t>
            </w:r>
            <w:r>
              <w:br/>
            </w:r>
            <w:r>
              <w:t xml:space="preserve">Monthly site visits to ensure adherence to architectural plans. Review of material samples and coordination with contractors. Issuance of technical reports regarding progress and quality control.</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6</w:t>
            </w:r>
          </w:p>
        </w:tc>
        <w:tc>
          <w:tcPr/>
          <w:p>
            <w:pPr>
              <w:pStyle w:val="Compact"/>
              <w:jc w:val="left"/>
            </w:pPr>
            <w:r>
              <w:rPr>
                <w:bCs/>
                <w:b/>
              </w:rPr>
              <w:t xml:space="preserve">Permitting Assistance &amp; Municipal Liaison</w:t>
            </w:r>
            <w:r>
              <w:br/>
            </w:r>
            <w:r>
              <w:t xml:space="preserve">Administrative support for submitting documentation to the Alcaldía de Medellín. Management of technical queries from municipal inspectors to expedite the construction license process.</w:t>
            </w:r>
          </w:p>
        </w:tc>
        <w:tc>
          <w:tcPr/>
          <w:p>
            <w:pPr>
              <w:pStyle w:val="Compact"/>
              <w:jc w:val="left"/>
            </w:pPr>
            <w:r>
              <w:t xml:space="preserve">1 Service</w:t>
            </w:r>
          </w:p>
        </w:tc>
        <w:tc>
          <w:tcPr/>
          <w:p>
            <w:pPr>
              <w:pStyle w:val="Compact"/>
              <w:jc w:val="left"/>
            </w:pPr>
            <w:r>
              <w:t xml:space="preserve">$5,500,000</w:t>
            </w:r>
          </w:p>
        </w:tc>
        <w:tc>
          <w:tcPr/>
          <w:p>
            <w:pPr>
              <w:pStyle w:val="Compact"/>
              <w:jc w:val="left"/>
            </w:pPr>
            <w:r>
              <w:t xml:space="preserve">$5,500,000</w:t>
            </w:r>
          </w:p>
        </w:tc>
      </w:tr>
    </w:tbl>
    <w:p>
      <w:pPr>
        <w:pStyle w:val="BodyText"/>
      </w:pPr>
      <w:r>
        <w:t xml:space="preserve">Subtotal:</w:t>
      </w:r>
      <w:r>
        <w:t xml:space="preserve"> </w:t>
      </w:r>
      <w:r>
        <w:t xml:space="preserve">$115,200,000</w:t>
      </w:r>
    </w:p>
    <w:p>
      <w:pPr>
        <w:pStyle w:val="BodyText"/>
      </w:pPr>
      <w:r>
        <w:t xml:space="preserve">VAT (IVA 19%):</w:t>
      </w:r>
      <w:r>
        <w:t xml:space="preserve"> </w:t>
      </w:r>
      <w:r>
        <w:t xml:space="preserve">$21,888,000</w:t>
      </w:r>
    </w:p>
    <w:p>
      <w:pPr>
        <w:pStyle w:val="BodyText"/>
      </w:pPr>
      <w:r>
        <w:t xml:space="preserve">Withholding Tax (Retención en la Fuente 2.5%):</w:t>
      </w:r>
      <w:r>
        <w:t xml:space="preserve"> </w:t>
      </w:r>
      <w:r>
        <w:t xml:space="preserve">-$2,880,000</w:t>
      </w:r>
    </w:p>
    <w:p>
      <w:pPr>
        <w:pStyle w:val="BodyText"/>
      </w:pPr>
      <w:r>
        <w:t xml:space="preserve">TOTAL DUE (COP):</w:t>
      </w:r>
      <w:r>
        <w:t xml:space="preserve"> </w:t>
      </w:r>
      <w:r>
        <w:t xml:space="preserve">$134,208,000</w:t>
      </w:r>
    </w:p>
    <w:bookmarkStart w:id="22" w:name="X7c284cb4b8523f2391e6583c95010bab028d47a"/>
    <w:p>
      <w:pPr>
        <w:pStyle w:val="Heading3"/>
      </w:pPr>
      <w:r>
        <w:t xml:space="preserve">Terms and Conditions &amp; Payment Instructions</w:t>
      </w:r>
    </w:p>
    <w:p>
      <w:pPr>
        <w:pStyle w:val="FirstParagraph"/>
      </w:pPr>
      <w:r>
        <w:rPr>
          <w:bCs/>
          <w:b/>
        </w:rPr>
        <w:t xml:space="preserve">1. Payment Terms:</w:t>
      </w:r>
      <w:r>
        <w:t xml:space="preserve"> </w:t>
      </w:r>
      <w:r>
        <w:t xml:space="preserve">Payment is due within thirty (30) days from the date of this invoice. Late payments will incur a penalty interest rate of 1.5% per month, in accordance with Colombian commercial law.</w:t>
      </w:r>
    </w:p>
    <w:p>
      <w:pPr>
        <w:pStyle w:val="BodyText"/>
      </w:pPr>
      <w:r>
        <w:rPr>
          <w:bCs/>
          <w:b/>
        </w:rPr>
        <w:t xml:space="preserve">2. Bank Details:</w:t>
      </w:r>
      <w:r>
        <w:t xml:space="preserve"> </w:t>
      </w:r>
      <w:r>
        <w:t xml:space="preserve">Please make transfers to the following account:</w:t>
      </w:r>
      <w:r>
        <w:br/>
      </w:r>
      <w:r>
        <w:t xml:space="preserve">Bank: Bancolombia</w:t>
      </w:r>
      <w:r>
        <w:br/>
      </w:r>
      <w:r>
        <w:t xml:space="preserve">Account Type: Checking (Corriente)</w:t>
      </w:r>
      <w:r>
        <w:br/>
      </w:r>
      <w:r>
        <w:t xml:space="preserve">Account Number: 123-456789-00</w:t>
      </w:r>
      <w:r>
        <w:br/>
      </w:r>
      <w:r>
        <w:t xml:space="preserve">Beneficiary: Andes Urban Design Studio S.A.S.</w:t>
      </w:r>
      <w:r>
        <w:br/>
      </w:r>
      <w:r>
        <w:t xml:space="preserve">Reference: INV-MDE-2023-089</w:t>
      </w:r>
    </w:p>
    <w:p>
      <w:pPr>
        <w:pStyle w:val="BodyText"/>
      </w:pPr>
      <w:r>
        <w:rPr>
          <w:bCs/>
          <w:b/>
        </w:rPr>
        <w:t xml:space="preserve">3. Scope of Work:</w:t>
      </w:r>
      <w:r>
        <w:t xml:space="preserve"> </w:t>
      </w:r>
      <w:r>
        <w:t xml:space="preserve">This invoice covers the architectural services rendered for the project located in Medellín, Antioquia. Any changes to the project scope, design modifications, or additional site visits requested by the client after the approval of the initial plans will be billed separately via a change order.</w:t>
      </w:r>
    </w:p>
    <w:p>
      <w:pPr>
        <w:pStyle w:val="BodyText"/>
      </w:pPr>
      <w:r>
        <w:rPr>
          <w:bCs/>
          <w:b/>
        </w:rPr>
        <w:t xml:space="preserve">4. Intellectual Property:</w:t>
      </w:r>
      <w:r>
        <w:t xml:space="preserve"> </w:t>
      </w:r>
      <w:r>
        <w:t xml:space="preserve">All architectural drawings, 3D models, and design concepts remain the intellectual property of Andes Urban Design Studio until full payment of this invoice is received. Upon payment, the client is granted a license to use these materials solely for the construction of the specified project.</w:t>
      </w:r>
    </w:p>
    <w:p>
      <w:pPr>
        <w:pStyle w:val="BodyText"/>
      </w:pPr>
      <w:r>
        <w:rPr>
          <w:bCs/>
          <w:b/>
        </w:rPr>
        <w:t xml:space="preserve">5. Regulatory Compliance:</w:t>
      </w:r>
      <w:r>
        <w:t xml:space="preserve"> </w:t>
      </w:r>
      <w:r>
        <w:t xml:space="preserve">All services have been performed in strict adherence to the National Seismic Resistance Code (NSR-10) and the local urban planning regulations of the City of Medellín. The architect is not responsible for delays caused by municipal bureaucracy or force majeure events.</w:t>
      </w:r>
    </w:p>
    <w:p>
      <w:pPr>
        <w:pStyle w:val="BodyText"/>
      </w:pPr>
      <w:r>
        <w:rPr>
          <w:bCs/>
          <w:b/>
        </w:rPr>
        <w:t xml:space="preserve">6. Contact:</w:t>
      </w:r>
      <w:r>
        <w:t xml:space="preserve"> </w:t>
      </w:r>
      <w:r>
        <w:t xml:space="preserve">For any queries regarding this invoice or the project status, please contact our billing department at billing@andesurban.co or call +57 (4) 444-5555.</w:t>
      </w:r>
    </w:p>
    <w:bookmarkEnd w:id="22"/>
    <w:p>
      <w:pPr>
        <w:pStyle w:val="BodyText"/>
      </w:pPr>
      <w:r>
        <w:rPr>
          <w:bCs/>
          <w:b/>
        </w:rPr>
        <w:t xml:space="preserve">Authorized Signature (Issuer)</w:t>
      </w:r>
    </w:p>
    <w:p>
      <w:pPr>
        <w:pStyle w:val="BodyText"/>
      </w:pPr>
      <w:r>
        <w:t xml:space="preserve">Arq. Sofia Ramirez</w:t>
      </w:r>
    </w:p>
    <w:p>
      <w:pPr>
        <w:pStyle w:val="BodyText"/>
      </w:pPr>
      <w:r>
        <w:t xml:space="preserve">Principal Architect</w:t>
      </w:r>
    </w:p>
    <w:p>
      <w:pPr>
        <w:pStyle w:val="BodyText"/>
      </w:pPr>
      <w:r>
        <w:t xml:space="preserve">Andes Urban Design Studio</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Grupo Constructor El Volcán S.A.S.</w:t>
      </w:r>
    </w:p>
    <w:p>
      <w:pPr>
        <w:pStyle w:val="BodyText"/>
      </w:pPr>
      <w:r>
        <w:t xml:space="preserve">Andes Urban Design Studio S.A.S. | NIT: 900.123.456-7 | Calle 73 #45-12, Medellín, Colombia</w:t>
      </w:r>
    </w:p>
    <w:p>
      <w:pPr>
        <w:pStyle w:val="BodyText"/>
      </w:pPr>
      <w:r>
        <w:t xml:space="preserve">This document is a valid tax invoice for accounting purposes in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Medellín, Colombia</dc:title>
  <dc:creator/>
  <dc:language>en</dc:language>
  <cp:keywords/>
  <dcterms:created xsi:type="dcterms:W3CDTF">2026-10-10T02:42:10Z</dcterms:created>
  <dcterms:modified xsi:type="dcterms:W3CDTF">2026-10-10T02:42:10Z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