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Egypt</w:t>
      </w:r>
      <w:r>
        <w:t xml:space="preserve"> </w:t>
      </w:r>
      <w:r>
        <w:t xml:space="preserve">Alexandria</w:t>
      </w:r>
    </w:p>
    <w:bookmarkStart w:id="20" w:name="alexandria-coastal-architects"/>
    <w:p>
      <w:pPr>
        <w:pStyle w:val="Heading1"/>
      </w:pPr>
      <w:r>
        <w:t xml:space="preserve">Alexandria Coastal Architects</w:t>
      </w:r>
    </w:p>
    <w:p>
      <w:pPr>
        <w:pStyle w:val="FirstParagraph"/>
      </w:pPr>
      <w:r>
        <w:rPr>
          <w:bCs/>
          <w:b/>
        </w:rPr>
        <w:t xml:space="preserve">License No:</w:t>
      </w:r>
      <w:r>
        <w:t xml:space="preserve"> </w:t>
      </w:r>
      <w:r>
        <w:t xml:space="preserve">4592/Arch/ALX</w:t>
      </w:r>
    </w:p>
    <w:p>
      <w:pPr>
        <w:pStyle w:val="BodyText"/>
      </w:pPr>
      <w:r>
        <w:rPr>
          <w:bCs/>
          <w:b/>
        </w:rPr>
        <w:t xml:space="preserve">Address:</w:t>
      </w:r>
      <w:r>
        <w:t xml:space="preserve"> </w:t>
      </w:r>
      <w:r>
        <w:t xml:space="preserve">14 Saad Zaghloul Street, Raml Station, Alexandria, Egypt</w:t>
      </w:r>
    </w:p>
    <w:p>
      <w:pPr>
        <w:pStyle w:val="BodyText"/>
      </w:pPr>
      <w:r>
        <w:rPr>
          <w:bCs/>
          <w:b/>
        </w:rPr>
        <w:t xml:space="preserve">Phone:</w:t>
      </w:r>
      <w:r>
        <w:t xml:space="preserve"> </w:t>
      </w:r>
      <w:r>
        <w:t xml:space="preserve">+20 3 487 1234</w:t>
      </w:r>
    </w:p>
    <w:p>
      <w:pPr>
        <w:pStyle w:val="BodyText"/>
      </w:pPr>
      <w:r>
        <w:rPr>
          <w:bCs/>
          <w:b/>
        </w:rPr>
        <w:t xml:space="preserve">Email:</w:t>
      </w:r>
      <w:r>
        <w:t xml:space="preserve"> </w:t>
      </w:r>
      <w:r>
        <w:t xml:space="preserve">billing@alexcoastalarch.com</w:t>
      </w:r>
    </w:p>
    <w:p>
      <w:pPr>
        <w:pStyle w:val="BodyText"/>
      </w:pPr>
      <w:r>
        <w:rPr>
          <w:bCs/>
          <w:b/>
        </w:rPr>
        <w:t xml:space="preserve">Tax ID:</w:t>
      </w:r>
      <w:r>
        <w:t xml:space="preserve"> </w:t>
      </w:r>
      <w:r>
        <w:t xml:space="preserve">EG-998877665544</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Mohamed Hassan El-Sayed</w:t>
      </w:r>
    </w:p>
    <w:p>
      <w:pPr>
        <w:pStyle w:val="BodyText"/>
      </w:pPr>
      <w:r>
        <w:rPr>
          <w:bCs/>
          <w:b/>
        </w:rPr>
        <w:t xml:space="preserve">Project Name:</w:t>
      </w:r>
      <w:r>
        <w:t xml:space="preserve"> </w:t>
      </w:r>
      <w:r>
        <w:t xml:space="preserve">Residential Villa Renovation</w:t>
      </w:r>
    </w:p>
    <w:p>
      <w:pPr>
        <w:pStyle w:val="BodyText"/>
      </w:pPr>
      <w:r>
        <w:rPr>
          <w:bCs/>
          <w:b/>
        </w:rPr>
        <w:t xml:space="preserve">Site Address:</w:t>
      </w:r>
      <w:r>
        <w:t xml:space="preserve"> </w:t>
      </w:r>
      <w:r>
        <w:t xml:space="preserve">Block 4, Apartment 12, Smouha District, Alexandria, Egypt</w:t>
      </w:r>
    </w:p>
    <w:p>
      <w:pPr>
        <w:pStyle w:val="BodyText"/>
      </w:pPr>
      <w:r>
        <w:rPr>
          <w:bCs/>
          <w:b/>
        </w:rPr>
        <w:t xml:space="preserve">Phone:</w:t>
      </w:r>
      <w:r>
        <w:t xml:space="preserve"> </w:t>
      </w:r>
      <w:r>
        <w:t xml:space="preserve">+20 10 1234 5678</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INV-2023-089</w:t>
      </w:r>
    </w:p>
    <w:p>
      <w:pPr>
        <w:pStyle w:val="BodyText"/>
      </w:pPr>
      <w:r>
        <w:rPr>
          <w:bCs/>
          <w:b/>
        </w:rPr>
        <w:t xml:space="preserve">Project Phase:</w:t>
      </w:r>
      <w:r>
        <w:t xml:space="preserve"> </w:t>
      </w:r>
      <w:r>
        <w:t xml:space="preserve">Design Development &amp; Documentation</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Egyptian Pound (EGP)</w:t>
      </w:r>
    </w:p>
    <w:bookmarkEnd w:id="23"/>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Architectural Services</w:t>
            </w:r>
          </w:p>
        </w:tc>
        <w:tc>
          <w:tcPr/>
          <w:p>
            <w:pPr>
              <w:pStyle w:val="Compact"/>
              <w:jc w:val="left"/>
            </w:pPr>
            <w:r>
              <w:t xml:space="preserve">Quantity / Hours</w:t>
            </w:r>
          </w:p>
        </w:tc>
        <w:tc>
          <w:tcPr/>
          <w:p>
            <w:pPr>
              <w:pStyle w:val="Compact"/>
              <w:jc w:val="left"/>
            </w:pPr>
            <w:r>
              <w:t xml:space="preserve">Unit Rate (EGP)</w:t>
            </w:r>
          </w:p>
        </w:tc>
        <w:tc>
          <w:tcPr/>
          <w:p>
            <w:pPr>
              <w:pStyle w:val="Compact"/>
              <w:jc w:val="left"/>
            </w:pPr>
            <w:r>
              <w:t xml:space="preserve">Total (EGP)</w:t>
            </w:r>
          </w:p>
        </w:tc>
      </w:tr>
      <w:tr>
        <w:tc>
          <w:tcPr/>
          <w:p>
            <w:pPr>
              <w:pStyle w:val="Compact"/>
              <w:jc w:val="left"/>
            </w:pPr>
            <w:r>
              <w:rPr>
                <w:bCs/>
                <w:b/>
              </w:rPr>
              <w:t xml:space="preserve">Site Analysis and Contextual Study:</w:t>
            </w:r>
            <w:r>
              <w:t xml:space="preserve"> </w:t>
            </w:r>
            <w:r>
              <w:t xml:space="preserve">Comprehensive evaluation of the existing property in Smouha, Alexandria. This includes topographical survey review, solar orientation analysis specific to the Mediterranean climate, and assessment of local zoning regulations enforced by the Alexandria Governorate.</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rPr>
                <w:bCs/>
                <w:b/>
              </w:rPr>
              <w:t xml:space="preserve">Conceptual Design Development:</w:t>
            </w:r>
            <w:r>
              <w:t xml:space="preserve"> </w:t>
            </w:r>
            <w:r>
              <w:t xml:space="preserve">Creation of initial architectural concepts tailored to the client's vision. This phase involved three distinct design iterations focusing on modern aesthetics blended with traditional Alexandrian architectural elements. Includes 3D massing models and preliminary floor plans.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rPr>
                <w:bCs/>
                <w:b/>
              </w:rPr>
              <w:t xml:space="preserve">Interior Space Planning:</w:t>
            </w:r>
            <w:r>
              <w:t xml:space="preserve"> </w:t>
            </w:r>
            <w:r>
              <w:t xml:space="preserve">Detailed layout optimization for residential spaces. The Architect has designed efficient circulation paths, optimized natural light penetration, and selected material palettes suitable for the high-humidity coastal environment of Egypt Alexandria.</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r>
      <w:tr>
        <w:tc>
          <w:tcPr/>
          <w:p>
            <w:pPr>
              <w:pStyle w:val="Compact"/>
              <w:jc w:val="left"/>
            </w:pPr>
            <w:r>
              <w:rPr>
                <w:bCs/>
                <w:b/>
              </w:rPr>
              <w:t xml:space="preserve">Technical Drawings and Documentation:</w:t>
            </w:r>
            <w:r>
              <w:t xml:space="preserve"> </w:t>
            </w:r>
            <w:r>
              <w:t xml:space="preserve">Preparation of construction-ready drawings. This includes detailed architectural plans, elevations, sections, and door/window schedules. These documents are formatted to meet the submission requirements of the local municipality in Alexandria.</w:t>
            </w:r>
          </w:p>
        </w:tc>
        <w:tc>
          <w:tcPr/>
          <w:p>
            <w:pPr>
              <w:pStyle w:val="Compact"/>
              <w:jc w:val="left"/>
            </w:pPr>
            <w:r>
              <w:t xml:space="preserve">1</w:t>
            </w:r>
          </w:p>
        </w:tc>
        <w:tc>
          <w:tcPr/>
          <w:p>
            <w:pPr>
              <w:pStyle w:val="Compact"/>
              <w:jc w:val="left"/>
            </w:pPr>
            <w:r>
              <w:t xml:space="preserve">60,000.00</w:t>
            </w:r>
          </w:p>
        </w:tc>
        <w:tc>
          <w:tcPr/>
          <w:p>
            <w:pPr>
              <w:pStyle w:val="Compact"/>
              <w:jc w:val="left"/>
            </w:pPr>
            <w:r>
              <w:t xml:space="preserve">60,000.00</w:t>
            </w:r>
          </w:p>
        </w:tc>
      </w:tr>
      <w:tr>
        <w:tc>
          <w:tcPr/>
          <w:p>
            <w:pPr>
              <w:pStyle w:val="Compact"/>
              <w:jc w:val="left"/>
            </w:pPr>
            <w:r>
              <w:rPr>
                <w:bCs/>
                <w:b/>
              </w:rPr>
              <w:t xml:space="preserve">3D Visualization and Rendering:</w:t>
            </w:r>
            <w:r>
              <w:t xml:space="preserve"> </w:t>
            </w:r>
            <w:r>
              <w:t xml:space="preserve">High-quality photorealistic renderings of the exterior façade and key interior rooms. These visuals assist in visualizing the final outcome of the renovation project within the urban fabric of Alexandria.</w:t>
            </w:r>
          </w:p>
        </w:tc>
        <w:tc>
          <w:tcPr/>
          <w:p>
            <w:pPr>
              <w:pStyle w:val="Compact"/>
              <w:jc w:val="left"/>
            </w:pPr>
            <w:r>
              <w:t xml:space="preserve">5</w:t>
            </w:r>
          </w:p>
        </w:tc>
        <w:tc>
          <w:tcPr/>
          <w:p>
            <w:pPr>
              <w:pStyle w:val="Compact"/>
              <w:jc w:val="left"/>
            </w:pPr>
            <w:r>
              <w:t xml:space="preserve">4,000.00</w:t>
            </w:r>
          </w:p>
        </w:tc>
        <w:tc>
          <w:tcPr/>
          <w:p>
            <w:pPr>
              <w:pStyle w:val="Compact"/>
              <w:jc w:val="left"/>
            </w:pPr>
            <w:r>
              <w:t xml:space="preserve">20,000.00</w:t>
            </w:r>
          </w:p>
        </w:tc>
      </w:tr>
      <w:tr>
        <w:tc>
          <w:tcPr/>
          <w:p>
            <w:pPr>
              <w:pStyle w:val="Compact"/>
              <w:jc w:val="left"/>
            </w:pPr>
            <w:r>
              <w:rPr>
                <w:bCs/>
                <w:b/>
              </w:rPr>
              <w:t xml:space="preserve">Consultation and Coordination:</w:t>
            </w:r>
            <w:r>
              <w:t xml:space="preserve"> </w:t>
            </w:r>
            <w:r>
              <w:t xml:space="preserve">Professional hours spent coordinating with structural and MEP engineers. The Architect ensures that all systems integrate seamlessly with the design intent while adhering to Egyptian Building Codes.</w:t>
            </w:r>
          </w:p>
        </w:tc>
        <w:tc>
          <w:tcPr/>
          <w:p>
            <w:pPr>
              <w:pStyle w:val="Compact"/>
              <w:jc w:val="left"/>
            </w:pPr>
            <w:r>
              <w:t xml:space="preserve">20</w:t>
            </w:r>
          </w:p>
        </w:tc>
        <w:tc>
          <w:tcPr/>
          <w:p>
            <w:pPr>
              <w:pStyle w:val="Compact"/>
              <w:jc w:val="left"/>
            </w:pPr>
            <w:r>
              <w:t xml:space="preserve">1,500.00</w:t>
            </w:r>
          </w:p>
        </w:tc>
        <w:tc>
          <w:tcPr/>
          <w:p>
            <w:pPr>
              <w:pStyle w:val="Compact"/>
              <w:jc w:val="left"/>
            </w:pPr>
            <w:r>
              <w:t xml:space="preserve">30,000.00</w:t>
            </w:r>
          </w:p>
        </w:tc>
      </w:tr>
    </w:tbl>
    <w:p>
      <w:pPr>
        <w:pStyle w:val="BodyText"/>
      </w:pPr>
      <w:r>
        <w:t xml:space="preserve">Subtotal:</w:t>
      </w:r>
      <w:r>
        <w:t xml:space="preserve"> </w:t>
      </w:r>
      <w:r>
        <w:t xml:space="preserve">200,000.00 EGP</w:t>
      </w:r>
    </w:p>
    <w:p>
      <w:pPr>
        <w:pStyle w:val="BodyText"/>
      </w:pPr>
      <w:r>
        <w:t xml:space="preserve">VAT (14%):</w:t>
      </w:r>
      <w:r>
        <w:t xml:space="preserve"> </w:t>
      </w:r>
      <w:r>
        <w:t xml:space="preserve">28,000.00 EGP</w:t>
      </w:r>
    </w:p>
    <w:p>
      <w:pPr>
        <w:pStyle w:val="BodyText"/>
      </w:pPr>
      <w:r>
        <w:t xml:space="preserve">Total Due:</w:t>
      </w:r>
      <w:r>
        <w:t xml:space="preserve"> </w:t>
      </w:r>
      <w:r>
        <w:t xml:space="preserve">228,000.00 EGP</w:t>
      </w:r>
    </w:p>
    <w:bookmarkStart w:id="24" w:name="terms-and-conditions"/>
    <w:p>
      <w:pPr>
        <w:pStyle w:val="Heading4"/>
      </w:pPr>
      <w:r>
        <w:t xml:space="preserve">Terms and Conditions:</w:t>
      </w:r>
    </w:p>
    <w:p>
      <w:pPr>
        <w:pStyle w:val="FirstParagraph"/>
      </w:pPr>
      <w:r>
        <w:t xml:space="preserve">1.</w:t>
      </w:r>
      <w:r>
        <w:t xml:space="preserve"> </w:t>
      </w:r>
      <w:r>
        <w:rPr>
          <w:bCs/>
          <w:b/>
        </w:rPr>
        <w:t xml:space="preserve">Payment Method:</w:t>
      </w:r>
      <w:r>
        <w:t xml:space="preserve"> </w:t>
      </w:r>
      <w:r>
        <w:t xml:space="preserve">Payment is to be made via bank transfer to the account details provided below or via certified check payable to Alexandria Coastal Architects.</w:t>
      </w:r>
    </w:p>
    <w:p>
      <w:pPr>
        <w:pStyle w:val="BodyText"/>
      </w:pPr>
      <w:r>
        <w:t xml:space="preserve">2.</w:t>
      </w:r>
      <w:r>
        <w:t xml:space="preserve"> </w:t>
      </w:r>
      <w:r>
        <w:rPr>
          <w:bCs/>
          <w:b/>
        </w:rPr>
        <w:t xml:space="preserve">Late Fees:</w:t>
      </w:r>
      <w:r>
        <w:t xml:space="preserve"> </w:t>
      </w:r>
      <w:r>
        <w:t xml:space="preserve">Invoices not paid by the due date will incur a late fee of 2% per month on the outstanding balance, in accordance with standard commercial practices in Egypt.</w:t>
      </w:r>
    </w:p>
    <w:p>
      <w:pPr>
        <w:pStyle w:val="BodyText"/>
      </w:pPr>
      <w:r>
        <w:t xml:space="preserve">3.</w:t>
      </w:r>
      <w:r>
        <w:t xml:space="preserve"> </w:t>
      </w:r>
      <w:r>
        <w:rPr>
          <w:bCs/>
          <w:b/>
        </w:rPr>
        <w:t xml:space="preserve">Scope of Work:</w:t>
      </w:r>
      <w:r>
        <w:t xml:space="preserve"> </w:t>
      </w:r>
      <w:r>
        <w:t xml:space="preserve">This Invoice covers the services described above. Any additional services requested by the client outside the agreed scope will be billed separately at the Architect's standard hourly rate.</w:t>
      </w:r>
    </w:p>
    <w:p>
      <w:pPr>
        <w:pStyle w:val="BodyText"/>
      </w:pPr>
      <w:r>
        <w:t xml:space="preserve">4.</w:t>
      </w:r>
      <w:r>
        <w:t xml:space="preserve"> </w:t>
      </w:r>
      <w:r>
        <w:rPr>
          <w:bCs/>
          <w:b/>
        </w:rPr>
        <w:t xml:space="preserve">Regulatory Compliance:</w:t>
      </w:r>
      <w:r>
        <w:t xml:space="preserve"> </w:t>
      </w:r>
      <w:r>
        <w:t xml:space="preserve">The Architect guarantees that all designs comply with the current building regulations of the Alexandria Governorate. However, the client is responsible for obtaining all necessary permits and approvals from local authorities.</w:t>
      </w:r>
    </w:p>
    <w:p>
      <w:pPr>
        <w:pStyle w:val="BodyText"/>
      </w:pPr>
      <w:r>
        <w:t xml:space="preserve">5.</w:t>
      </w:r>
      <w:r>
        <w:t xml:space="preserve"> </w:t>
      </w:r>
      <w:r>
        <w:rPr>
          <w:bCs/>
          <w:b/>
        </w:rPr>
        <w:t xml:space="preserve">Intellectual Property:</w:t>
      </w:r>
      <w:r>
        <w:t xml:space="preserve"> </w:t>
      </w:r>
      <w:r>
        <w:t xml:space="preserve">All drawings, designs, and documents remain the intellectual property of Alexandria Coastal Architects until full payment of this Invoice is received.</w:t>
      </w:r>
    </w:p>
    <w:p>
      <w:pPr>
        <w:pStyle w:val="BodyText"/>
      </w:pPr>
      <w:r>
        <w:t xml:space="preserve">6.</w:t>
      </w:r>
      <w:r>
        <w:t xml:space="preserve"> </w:t>
      </w:r>
      <w:r>
        <w:rPr>
          <w:bCs/>
          <w:b/>
        </w:rPr>
        <w:t xml:space="preserve">Bank Details:</w:t>
      </w:r>
      <w:r>
        <w:br/>
      </w:r>
      <w:r>
        <w:t xml:space="preserve">Bank Name: National Bank of Egypt</w:t>
      </w:r>
      <w:r>
        <w:br/>
      </w:r>
      <w:r>
        <w:t xml:space="preserve">Branch: Raml Station, Alexandria</w:t>
      </w:r>
      <w:r>
        <w:br/>
      </w:r>
      <w:r>
        <w:t xml:space="preserve">Account Name: Alexandria Coastal Architects LLC</w:t>
      </w:r>
      <w:r>
        <w:br/>
      </w:r>
      <w:r>
        <w:t xml:space="preserve">Account Number: 1234567890123456</w:t>
      </w:r>
      <w:r>
        <w:br/>
      </w:r>
      <w:r>
        <w:t xml:space="preserve">IBAN: EG39 0019 0005 0000 0001 2345 6789</w:t>
      </w:r>
    </w:p>
    <w:bookmarkEnd w:id="24"/>
    <w:p>
      <w:pPr>
        <w:pStyle w:val="BodyText"/>
      </w:pPr>
      <w:r>
        <w:rPr>
          <w:bCs/>
          <w:b/>
        </w:rPr>
        <w:t xml:space="preserve">Authorized Signature</w:t>
      </w:r>
    </w:p>
    <w:p>
      <w:pPr>
        <w:pStyle w:val="BodyText"/>
      </w:pPr>
      <w:r>
        <w:t xml:space="preserve">Arch. Sarah Ibrahim</w:t>
      </w:r>
    </w:p>
    <w:p>
      <w:pPr>
        <w:pStyle w:val="BodyText"/>
      </w:pPr>
      <w:r>
        <w:t xml:space="preserve">Principal Architect</w:t>
      </w:r>
    </w:p>
    <w:p>
      <w:pPr>
        <w:pStyle w:val="BodyText"/>
      </w:pPr>
      <w:r>
        <w:rPr>
          <w:bCs/>
          <w:b/>
        </w:rPr>
        <w:t xml:space="preserve">Client Acceptance</w:t>
      </w:r>
    </w:p>
    <w:p>
      <w:pPr>
        <w:pStyle w:val="BodyText"/>
      </w:pPr>
      <w:r>
        <w:t xml:space="preserve">Mohamed Hassan El-Sayed</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Architectural Services Invoice - Egypt Alexandria</dc:title>
  <dc:creator/>
  <dc:language>en</dc:language>
  <cp:keywords/>
  <dcterms:created xsi:type="dcterms:W3CDTF">2026-10-10T03:11:07Z</dcterms:created>
  <dcterms:modified xsi:type="dcterms:W3CDTF">2026-10-10T03:11:07Z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