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horizon-architectural-firm"/>
    <w:p>
      <w:pPr>
        <w:pStyle w:val="Heading1"/>
      </w:pPr>
      <w:r>
        <w:t xml:space="preserve">Horizon Architectural Firm</w:t>
      </w:r>
    </w:p>
    <w:p>
      <w:pPr>
        <w:pStyle w:val="FirstParagraph"/>
      </w:pPr>
      <w:r>
        <w:rPr>
          <w:bCs/>
          <w:b/>
        </w:rPr>
        <w:t xml:space="preserve">License No:</w:t>
      </w:r>
      <w:r>
        <w:t xml:space="preserve"> </w:t>
      </w:r>
      <w:r>
        <w:t xml:space="preserve">AA-ARC-2023-0045</w:t>
      </w:r>
    </w:p>
    <w:p>
      <w:pPr>
        <w:pStyle w:val="BodyText"/>
      </w:pPr>
      <w:r>
        <w:t xml:space="preserve">Bole Road, Friendship Building, 4th Floor</w:t>
      </w:r>
    </w:p>
    <w:p>
      <w:pPr>
        <w:pStyle w:val="BodyText"/>
      </w:pPr>
      <w:r>
        <w:t xml:space="preserve">Addis Ababa, Ethiopia</w:t>
      </w:r>
    </w:p>
    <w:p>
      <w:pPr>
        <w:pStyle w:val="BodyText"/>
      </w:pPr>
      <w:r>
        <w:t xml:space="preserve">Tel: +251 11 618 0000 | Email: billing@horizonarch.et</w:t>
      </w:r>
    </w:p>
    <w:p>
      <w:pPr>
        <w:pStyle w:val="BodyText"/>
      </w:pPr>
      <w:r>
        <w:t xml:space="preserve">TIN: 1002345678</w:t>
      </w:r>
    </w:p>
    <w:bookmarkEnd w:id="20"/>
    <w:bookmarkStart w:id="21" w:name="invoice"/>
    <w:p>
      <w:pPr>
        <w:pStyle w:val="Heading2"/>
      </w:pPr>
      <w:r>
        <w:t xml:space="preserve">INVOICE</w:t>
      </w:r>
    </w:p>
    <w:p>
      <w:pPr>
        <w:pStyle w:val="FirstParagraph"/>
      </w:pPr>
      <w:r>
        <w:t xml:space="preserve">Professional Architectural Services</w:t>
      </w:r>
    </w:p>
    <w:bookmarkEnd w:id="21"/>
    <w:p>
      <w:pPr>
        <w:pStyle w:val="BodyText"/>
      </w:pPr>
      <w:r>
        <w:rPr>
          <w:bCs/>
          <w:b/>
        </w:rPr>
        <w:t xml:space="preserve">BILL TO:</w:t>
      </w:r>
    </w:p>
    <w:p>
      <w:pPr>
        <w:pStyle w:val="BodyText"/>
      </w:pPr>
      <w:r>
        <w:rPr>
          <w:bCs/>
          <w:b/>
        </w:rPr>
        <w:t xml:space="preserve">Green Valley Developers PLC</w:t>
      </w:r>
      <w:r>
        <w:br/>
      </w:r>
      <w:r>
        <w:t xml:space="preserve">Attn: Mr. Kebede Tadesse</w:t>
      </w:r>
      <w:r>
        <w:br/>
      </w:r>
      <w:r>
        <w:t xml:space="preserve">Piassa, Near National Bank</w:t>
      </w:r>
      <w:r>
        <w:br/>
      </w:r>
      <w:r>
        <w:t xml:space="preserve">Addis Ababa, Ethiopia</w:t>
      </w:r>
      <w:r>
        <w:br/>
      </w:r>
      <w:r>
        <w:t xml:space="preserve">TIN: 1009876543</w:t>
      </w:r>
    </w:p>
    <w:p>
      <w:pPr>
        <w:pStyle w:val="BodyText"/>
      </w:pPr>
      <w:r>
        <w:rPr>
          <w:bCs/>
          <w:b/>
        </w:rPr>
        <w:t xml:space="preserve">INVOICE DETAILS:</w:t>
      </w:r>
    </w:p>
    <w:p>
      <w:pPr>
        <w:pStyle w:val="BodyText"/>
      </w:pPr>
      <w:r>
        <w:rPr>
          <w:bCs/>
          <w:b/>
        </w:rPr>
        <w:t xml:space="preserve">Invoice Number:</w:t>
      </w:r>
      <w:r>
        <w:t xml:space="preserve"> </w:t>
      </w:r>
      <w:r>
        <w:t xml:space="preserve">INV-2023-10-089</w:t>
      </w:r>
      <w:r>
        <w:br/>
      </w:r>
      <w:r>
        <w:rPr>
          <w:bCs/>
          <w:b/>
        </w:rPr>
        <w:t xml:space="preserve">Date Issued:</w:t>
      </w:r>
      <w:r>
        <w:t xml:space="preserve"> </w:t>
      </w:r>
      <w:r>
        <w:t xml:space="preserve">October 24, 2023</w:t>
      </w:r>
      <w:r>
        <w:br/>
      </w:r>
      <w:r>
        <w:rPr>
          <w:bCs/>
          <w:b/>
        </w:rPr>
        <w:t xml:space="preserve">Due Date:</w:t>
      </w:r>
      <w:r>
        <w:t xml:space="preserve"> </w:t>
      </w:r>
      <w:r>
        <w:t xml:space="preserve">November 07, 2023</w:t>
      </w:r>
      <w:r>
        <w:br/>
      </w:r>
      <w:r>
        <w:rPr>
          <w:bCs/>
          <w:b/>
        </w:rPr>
        <w:t xml:space="preserve">Project Name:</w:t>
      </w:r>
      <w:r>
        <w:t xml:space="preserve"> </w:t>
      </w:r>
      <w:r>
        <w:t xml:space="preserve">Bole Residential Complex Phase II</w:t>
      </w:r>
      <w:r>
        <w:br/>
      </w:r>
      <w:r>
        <w:rPr>
          <w:bCs/>
          <w:b/>
        </w:rPr>
        <w:t xml:space="preserve">Project Location:</w:t>
      </w:r>
      <w:r>
        <w:t xml:space="preserve"> </w:t>
      </w:r>
      <w:r>
        <w:t xml:space="preserve">Bole Sub-City, Addis Ababa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rPr>
                <w:bCs/>
                <w:b/>
              </w:rPr>
              <w:t xml:space="preserve">Conceptual Design &amp; Feasibility Study</w:t>
            </w:r>
            <w:r>
              <w:br/>
            </w:r>
            <w:r>
              <w:t xml:space="preserve">Initial site analysis of the Bole plot, zoning compliance check with Addis Ababa City Administration, and development of three conceptual massing options. Includes preliminary floor plans and 3D massing models.</w:t>
            </w:r>
          </w:p>
        </w:tc>
        <w:tc>
          <w:tcPr/>
          <w:p>
            <w:pPr>
              <w:pStyle w:val="Compact"/>
              <w:jc w:val="left"/>
            </w:pPr>
            <w:r>
              <w:t xml:space="preserve">120 Hrs</w:t>
            </w:r>
          </w:p>
        </w:tc>
        <w:tc>
          <w:tcPr/>
          <w:p>
            <w:pPr>
              <w:pStyle w:val="Compact"/>
              <w:jc w:val="left"/>
            </w:pPr>
            <w:r>
              <w:t xml:space="preserve">2,500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Schematic Design Development</w:t>
            </w:r>
            <w:r>
              <w:br/>
            </w:r>
            <w:r>
              <w:t xml:space="preserve">Refinement of the selected concept into detailed schematic drawings. Includes floor plans, elevations, and sections. Coordination with structural engineers regarding the foundation type suitable for Addis Ababa soil conditions.</w:t>
            </w:r>
          </w:p>
        </w:tc>
        <w:tc>
          <w:tcPr/>
          <w:p>
            <w:pPr>
              <w:pStyle w:val="Compact"/>
              <w:jc w:val="left"/>
            </w:pPr>
            <w:r>
              <w:t xml:space="preserve">150 Hrs</w:t>
            </w:r>
          </w:p>
        </w:tc>
        <w:tc>
          <w:tcPr/>
          <w:p>
            <w:pPr>
              <w:pStyle w:val="Compact"/>
              <w:jc w:val="left"/>
            </w:pPr>
            <w:r>
              <w:t xml:space="preserve">2,500</w:t>
            </w:r>
          </w:p>
        </w:tc>
        <w:tc>
          <w:tcPr/>
          <w:p>
            <w:pPr>
              <w:pStyle w:val="Compact"/>
              <w:jc w:val="left"/>
            </w:pPr>
            <w:r>
              <w:t xml:space="preserve">375,000.00</w:t>
            </w:r>
          </w:p>
        </w:tc>
      </w:tr>
      <w:tr>
        <w:tc>
          <w:tcPr/>
          <w:p>
            <w:pPr>
              <w:pStyle w:val="Compact"/>
              <w:jc w:val="left"/>
            </w:pPr>
            <w:r>
              <w:t xml:space="preserve">3</w:t>
            </w:r>
          </w:p>
        </w:tc>
        <w:tc>
          <w:tcPr/>
          <w:p>
            <w:pPr>
              <w:pStyle w:val="Compact"/>
              <w:jc w:val="left"/>
            </w:pPr>
            <w:r>
              <w:rPr>
                <w:bCs/>
                <w:b/>
              </w:rPr>
              <w:t xml:space="preserve">Design Development &amp; Material Selection</w:t>
            </w:r>
            <w:r>
              <w:br/>
            </w:r>
            <w:r>
              <w:t xml:space="preserve">Detailed architectural drawings specifying local materials (stone, concrete, glass). Selection of sustainable building materials available in the Ethiopian market. Energy efficiency analysis for the high-altitude climate of Addis Ababa.</w:t>
            </w:r>
          </w:p>
        </w:tc>
        <w:tc>
          <w:tcPr/>
          <w:p>
            <w:pPr>
              <w:pStyle w:val="Compact"/>
              <w:jc w:val="left"/>
            </w:pPr>
            <w:r>
              <w:t xml:space="preserve">100 Hrs</w:t>
            </w:r>
          </w:p>
        </w:tc>
        <w:tc>
          <w:tcPr/>
          <w:p>
            <w:pPr>
              <w:pStyle w:val="Compact"/>
              <w:jc w:val="left"/>
            </w:pPr>
            <w:r>
              <w:t xml:space="preserve">2,500</w:t>
            </w:r>
          </w:p>
        </w:tc>
        <w:tc>
          <w:tcPr/>
          <w:p>
            <w:pPr>
              <w:pStyle w:val="Compact"/>
              <w:jc w:val="left"/>
            </w:pPr>
            <w:r>
              <w:t xml:space="preserve">250,000.00</w:t>
            </w:r>
          </w:p>
        </w:tc>
      </w:tr>
      <w:tr>
        <w:tc>
          <w:tcPr/>
          <w:p>
            <w:pPr>
              <w:pStyle w:val="Compact"/>
              <w:jc w:val="left"/>
            </w:pPr>
            <w:r>
              <w:t xml:space="preserve">4</w:t>
            </w:r>
          </w:p>
        </w:tc>
        <w:tc>
          <w:tcPr/>
          <w:p>
            <w:pPr>
              <w:pStyle w:val="Compact"/>
              <w:jc w:val="left"/>
            </w:pPr>
            <w:r>
              <w:rPr>
                <w:bCs/>
                <w:b/>
              </w:rPr>
              <w:t xml:space="preserve">Construction Documentation (CD)</w:t>
            </w:r>
            <w:r>
              <w:br/>
            </w:r>
            <w:r>
              <w:t xml:space="preserve">Production of full construction sets required for permit application at the Addis Ababa Construction Permit Office. Includes detailed wall sections, door/window schedules, and architectural specifications compliant with Ethiopian Building Code Standards (EBCS).</w:t>
            </w:r>
          </w:p>
        </w:tc>
        <w:tc>
          <w:tcPr/>
          <w:p>
            <w:pPr>
              <w:pStyle w:val="Compact"/>
              <w:jc w:val="left"/>
            </w:pPr>
            <w:r>
              <w:t xml:space="preserve">200 Hrs</w:t>
            </w:r>
          </w:p>
        </w:tc>
        <w:tc>
          <w:tcPr/>
          <w:p>
            <w:pPr>
              <w:pStyle w:val="Compact"/>
              <w:jc w:val="left"/>
            </w:pPr>
            <w:r>
              <w:t xml:space="preserve">2,500</w:t>
            </w:r>
          </w:p>
        </w:tc>
        <w:tc>
          <w:tcPr/>
          <w:p>
            <w:pPr>
              <w:pStyle w:val="Compact"/>
              <w:jc w:val="left"/>
            </w:pPr>
            <w:r>
              <w:t xml:space="preserve">500,000.00</w:t>
            </w:r>
          </w:p>
        </w:tc>
      </w:tr>
      <w:tr>
        <w:tc>
          <w:tcPr/>
          <w:p>
            <w:pPr>
              <w:pStyle w:val="Compact"/>
              <w:jc w:val="left"/>
            </w:pPr>
            <w:r>
              <w:t xml:space="preserve">5</w:t>
            </w:r>
          </w:p>
        </w:tc>
        <w:tc>
          <w:tcPr/>
          <w:p>
            <w:pPr>
              <w:pStyle w:val="Compact"/>
              <w:jc w:val="left"/>
            </w:pPr>
            <w:r>
              <w:rPr>
                <w:bCs/>
                <w:b/>
              </w:rPr>
              <w:t xml:space="preserve">Permitting Assistance &amp; Coordination</w:t>
            </w:r>
            <w:r>
              <w:br/>
            </w:r>
            <w:r>
              <w:t xml:space="preserve">Liaison with the Addis Ababa City Administration Housing and Urban Development Bureau. Submission of documents, addressing reviewer comments, and securing the final building permit.</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75,000.00</w:t>
            </w:r>
          </w:p>
        </w:tc>
      </w:tr>
      <w:tr>
        <w:tc>
          <w:tcPr/>
          <w:p>
            <w:pPr>
              <w:pStyle w:val="Compact"/>
              <w:jc w:val="left"/>
            </w:pPr>
            <w:r>
              <w:t xml:space="preserve">6</w:t>
            </w:r>
          </w:p>
        </w:tc>
        <w:tc>
          <w:tcPr/>
          <w:p>
            <w:pPr>
              <w:pStyle w:val="Compact"/>
              <w:jc w:val="left"/>
            </w:pPr>
            <w:r>
              <w:rPr>
                <w:bCs/>
                <w:b/>
              </w:rPr>
              <w:t xml:space="preserve">Site Visits &amp; Construction Administration</w:t>
            </w:r>
            <w:r>
              <w:br/>
            </w:r>
            <w:r>
              <w:t xml:space="preserve">Monthly site inspections during the foundation and structural phase to ensure adherence to architectural drawings. Review of shop drawings submitted by contractors.</w:t>
            </w:r>
          </w:p>
        </w:tc>
        <w:tc>
          <w:tcPr/>
          <w:p>
            <w:pPr>
              <w:pStyle w:val="Compact"/>
              <w:jc w:val="left"/>
            </w:pPr>
            <w:r>
              <w:t xml:space="preserve">4 Visits</w:t>
            </w:r>
          </w:p>
        </w:tc>
        <w:tc>
          <w:tcPr/>
          <w:p>
            <w:pPr>
              <w:pStyle w:val="Compact"/>
              <w:jc w:val="left"/>
            </w:pPr>
            <w:r>
              <w:t xml:space="preserve">15,000</w:t>
            </w:r>
          </w:p>
        </w:tc>
        <w:tc>
          <w:tcPr/>
          <w:p>
            <w:pPr>
              <w:pStyle w:val="Compact"/>
              <w:jc w:val="left"/>
            </w:pPr>
            <w:r>
              <w:t xml:space="preserve">60,000.00</w:t>
            </w:r>
          </w:p>
        </w:tc>
      </w:tr>
    </w:tbl>
    <w:p>
      <w:pPr>
        <w:pStyle w:val="BodyText"/>
      </w:pPr>
      <w:r>
        <w:t xml:space="preserve">Subtotal</w:t>
      </w:r>
      <w:r>
        <w:t xml:space="preserve"> </w:t>
      </w:r>
      <w:r>
        <w:t xml:space="preserve">1,560,000.00 ETB</w:t>
      </w:r>
    </w:p>
    <w:p>
      <w:pPr>
        <w:pStyle w:val="BodyText"/>
      </w:pPr>
      <w:r>
        <w:t xml:space="preserve">VAT (15%)</w:t>
      </w:r>
      <w:r>
        <w:t xml:space="preserve"> </w:t>
      </w:r>
      <w:r>
        <w:t xml:space="preserve">234,000.00 ETB</w:t>
      </w:r>
    </w:p>
    <w:p>
      <w:pPr>
        <w:pStyle w:val="BodyText"/>
      </w:pPr>
      <w:r>
        <w:t xml:space="preserve">TOTAL DUE</w:t>
      </w:r>
      <w:r>
        <w:t xml:space="preserve"> </w:t>
      </w:r>
      <w:r>
        <w:t xml:space="preserve">1,794,000.00 ETB</w:t>
      </w:r>
    </w:p>
    <w:bookmarkStart w:id="22" w:name="payment-terms-conditions"/>
    <w:p>
      <w:pPr>
        <w:pStyle w:val="Heading3"/>
      </w:pPr>
      <w:r>
        <w:t xml:space="preserve">Payment Terms &amp; Conditions</w:t>
      </w:r>
    </w:p>
    <w:p>
      <w:pPr>
        <w:pStyle w:val="FirstParagraph"/>
      </w:pPr>
      <w:r>
        <w:rPr>
          <w:bCs/>
          <w:b/>
        </w:rPr>
        <w:t xml:space="preserve">1. Currency:</w:t>
      </w:r>
      <w:r>
        <w:t xml:space="preserve"> </w:t>
      </w:r>
      <w:r>
        <w:t xml:space="preserve">All amounts are quoted in Ethiopian Birr (ETB).</w:t>
      </w:r>
      <w:r>
        <w:br/>
      </w:r>
      <w:r>
        <w:rPr>
          <w:bCs/>
          <w:b/>
        </w:rPr>
        <w:t xml:space="preserve">2. Payment Method:</w:t>
      </w:r>
      <w:r>
        <w:t xml:space="preserve"> </w:t>
      </w:r>
      <w:r>
        <w:t xml:space="preserve">Payments should be made via bank transfer to the following account:</w:t>
      </w:r>
      <w:r>
        <w:br/>
      </w:r>
      <w:r>
        <w:t xml:space="preserve">    Bank: Commercial Bank of Ethiopia</w:t>
      </w:r>
      <w:r>
        <w:br/>
      </w:r>
      <w:r>
        <w:t xml:space="preserve">    Branch: Bole Branch</w:t>
      </w:r>
      <w:r>
        <w:br/>
      </w:r>
      <w:r>
        <w:t xml:space="preserve">    Account Name: Horizon Architectural Firm PLC</w:t>
      </w:r>
      <w:r>
        <w:br/>
      </w:r>
      <w:r>
        <w:t xml:space="preserve">    Account Number: 1000123456789</w:t>
      </w:r>
      <w:r>
        <w:br/>
      </w:r>
      <w:r>
        <w:rPr>
          <w:bCs/>
          <w:b/>
        </w:rPr>
        <w:t xml:space="preserve">3. Due Date:</w:t>
      </w:r>
      <w:r>
        <w:t xml:space="preserve"> </w:t>
      </w:r>
      <w:r>
        <w:t xml:space="preserve">Payment is due within 14 days of the invoice date. Late payments may incur a penalty of 2% per month.</w:t>
      </w:r>
      <w:r>
        <w:br/>
      </w:r>
      <w:r>
        <w:rPr>
          <w:bCs/>
          <w:b/>
        </w:rPr>
        <w:t xml:space="preserve">4. Scope:</w:t>
      </w:r>
      <w:r>
        <w:t xml:space="preserve"> </w:t>
      </w:r>
      <w:r>
        <w:t xml:space="preserve">This invoice covers architectural services only. Structural, MEP (Mechanical, Electrical, Plumbing), and Landscape engineering fees are billed separately by their respective consultants.</w:t>
      </w:r>
      <w:r>
        <w:br/>
      </w:r>
      <w:r>
        <w:rPr>
          <w:bCs/>
          <w:b/>
        </w:rPr>
        <w:t xml:space="preserve">5. Revisions:</w:t>
      </w:r>
      <w:r>
        <w:t xml:space="preserve"> </w:t>
      </w:r>
      <w:r>
        <w:t xml:space="preserve">This invoice includes up to two rounds of revisions per design phase. Additional revisions will be billed at the hourly rate stated above.</w:t>
      </w:r>
      <w:r>
        <w:br/>
      </w:r>
      <w:r>
        <w:rPr>
          <w:bCs/>
          <w:b/>
        </w:rPr>
        <w:t xml:space="preserve">6. Validity:</w:t>
      </w:r>
      <w:r>
        <w:t xml:space="preserve"> </w:t>
      </w:r>
      <w:r>
        <w:t xml:space="preserve">This invoice is valid for 30 days.</w:t>
      </w:r>
    </w:p>
    <w:bookmarkEnd w:id="22"/>
    <w:bookmarkStart w:id="23" w:name="project-context-architectural-standards"/>
    <w:p>
      <w:pPr>
        <w:pStyle w:val="Heading3"/>
      </w:pPr>
      <w:r>
        <w:t xml:space="preserve">Project Context &amp; Architectural Standards</w:t>
      </w:r>
    </w:p>
    <w:p>
      <w:pPr>
        <w:pStyle w:val="FirstParagraph"/>
      </w:pPr>
      <w:r>
        <w:t xml:space="preserve">This invoice represents the professional fees for the architectural design of the Bole Residential Complex Phase II, located in one of the most dynamic districts of Addis Ababa, Ethiopia. The design process has strictly adhered to the</w:t>
      </w:r>
      <w:r>
        <w:t xml:space="preserve"> </w:t>
      </w:r>
      <w:r>
        <w:rPr>
          <w:iCs/>
          <w:i/>
        </w:rPr>
        <w:t xml:space="preserve">Ethiopian Building Code Standards (EBCS)</w:t>
      </w:r>
      <w:r>
        <w:t xml:space="preserve"> </w:t>
      </w:r>
      <w:r>
        <w:t xml:space="preserve">and the specific urban planning regulations enforced by the Addis Ababa City Administration.</w:t>
      </w:r>
    </w:p>
    <w:p>
      <w:pPr>
        <w:pStyle w:val="BodyText"/>
      </w:pPr>
      <w:r>
        <w:t xml:space="preserve">As the lead Architect, Horizon Architectural Firm has ensured that the design respects the cultural context of Ethiopia while incorporating modern sustainable practices suitable for the high-altitude climate of Addis Ababa. The documentation provided in this phase is sufficient for obtaining the necessary construction permits from the local authorities and for tendering the construction contract.</w:t>
      </w:r>
    </w:p>
    <w:p>
      <w:pPr>
        <w:pStyle w:val="BodyText"/>
      </w:pPr>
      <w:r>
        <w:t xml:space="preserve">We appreciate Green Valley Developers PLC for entrusting us with this significant project. Our team remains committed to delivering high-quality architectural solutions that enhance the built environment of Addis Ababa. Should you have any questions regarding this invoice or the services rendered, please contact our billing department immediately.</w:t>
      </w:r>
    </w:p>
    <w:bookmarkEnd w:id="23"/>
    <w:p>
      <w:pPr>
        <w:pStyle w:val="BodyText"/>
      </w:pPr>
      <w:r>
        <w:rPr>
          <w:bCs/>
          <w:b/>
        </w:rPr>
        <w:t xml:space="preserve">Authorized Signature</w:t>
      </w:r>
    </w:p>
    <w:p>
      <w:pPr>
        <w:pStyle w:val="BodyText"/>
      </w:pPr>
      <w:r>
        <w:t xml:space="preserve">Ato. Yonas Bekele</w:t>
      </w:r>
    </w:p>
    <w:p>
      <w:pPr>
        <w:pStyle w:val="BodyText"/>
      </w:pPr>
      <w:r>
        <w:t xml:space="preserve">Principal Architect</w:t>
      </w:r>
    </w:p>
    <w:p>
      <w:pPr>
        <w:pStyle w:val="BodyText"/>
      </w:pPr>
      <w:r>
        <w:t xml:space="preserve">Horizon Architectural Firm</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Green Valley Developers PLC</w:t>
      </w:r>
    </w:p>
    <w:p>
      <w:pPr>
        <w:pStyle w:val="BodyText"/>
      </w:pPr>
      <w:r>
        <w:t xml:space="preserve">Horizon Architectural Firm PLC | Bole Road, Addis Ababa, Ethiopia</w:t>
      </w:r>
      <w:r>
        <w:br/>
      </w:r>
      <w:r>
        <w:t xml:space="preserve">Registered with the Ethiopian Construction Works Corporation (ECWC)</w:t>
      </w:r>
      <w:r>
        <w:br/>
      </w:r>
      <w:r>
        <w:t xml:space="preserve">This is a computer-generated invoice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Addis Ababa, Ethiopia</dc:title>
  <dc:creator/>
  <dc:language>en</dc:language>
  <cp:keywords/>
  <dcterms:created xsi:type="dcterms:W3CDTF">2026-10-10T09:32:31Z</dcterms:created>
  <dcterms:modified xsi:type="dcterms:W3CDTF">2026-10-10T09:32:31Z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