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Architectural</w:t>
      </w:r>
      <w:r>
        <w:t xml:space="preserve"> </w:t>
      </w:r>
      <w:r>
        <w:t xml:space="preserve">Services</w:t>
      </w:r>
      <w:r>
        <w:t xml:space="preserve"> </w:t>
      </w:r>
      <w:r>
        <w:t xml:space="preserve">Invoice</w:t>
      </w:r>
      <w:r>
        <w:t xml:space="preserve"> </w:t>
      </w:r>
      <w:r>
        <w:t xml:space="preserve">-</w:t>
      </w:r>
      <w:r>
        <w:t xml:space="preserve"> </w:t>
      </w:r>
      <w:r>
        <w:t xml:space="preserve">Paris,</w:t>
      </w:r>
      <w:r>
        <w:t xml:space="preserve"> </w:t>
      </w:r>
      <w:r>
        <w:t xml:space="preserve">France</w:t>
      </w:r>
    </w:p>
    <w:bookmarkStart w:id="20" w:name="atelier-lumière-architecture"/>
    <w:p>
      <w:pPr>
        <w:pStyle w:val="Heading1"/>
      </w:pPr>
      <w:r>
        <w:t xml:space="preserve">Atelier Lumière Architecture</w:t>
      </w:r>
    </w:p>
    <w:p>
      <w:pPr>
        <w:pStyle w:val="FirstParagraph"/>
      </w:pPr>
      <w:r>
        <w:t xml:space="preserve">12 Rue de Rivoli, 75004 Paris, France</w:t>
      </w:r>
    </w:p>
    <w:p>
      <w:pPr>
        <w:pStyle w:val="BodyText"/>
      </w:pPr>
      <w:r>
        <w:t xml:space="preserve">SIRET: 852 963 741 00012 | TVA Intracommunautaire: FR 12 852963741</w:t>
      </w:r>
    </w:p>
    <w:p>
      <w:pPr>
        <w:pStyle w:val="BodyText"/>
      </w:pPr>
      <w:r>
        <w:t xml:space="preserve">Ordre des Architectes de Paris: N° PA-75-2024-001</w:t>
      </w:r>
    </w:p>
    <w:p>
      <w:pPr>
        <w:pStyle w:val="BodyText"/>
      </w:pPr>
      <w:r>
        <w:t xml:space="preserve">contact@atelierlumiere-paris.fr | +33 1 42 78 90 12</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INV-2024-089</w:t>
      </w:r>
    </w:p>
    <w:p>
      <w:pPr>
        <w:pStyle w:val="BodyText"/>
      </w:pPr>
      <w:r>
        <w:rPr>
          <w:bCs/>
          <w:b/>
        </w:rPr>
        <w:t xml:space="preserve">Date of Issue:</w:t>
      </w:r>
      <w:r>
        <w:t xml:space="preserve"> </w:t>
      </w:r>
      <w:r>
        <w:t xml:space="preserve">October 24, 2024</w:t>
      </w:r>
    </w:p>
    <w:p>
      <w:pPr>
        <w:pStyle w:val="BodyText"/>
      </w:pPr>
      <w:r>
        <w:rPr>
          <w:bCs/>
          <w:b/>
        </w:rPr>
        <w:t xml:space="preserve">Due Date:</w:t>
      </w:r>
      <w:r>
        <w:t xml:space="preserve"> </w:t>
      </w:r>
      <w:r>
        <w:t xml:space="preserve">November 24, 2024</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Mme. Sophie Dubois</w:t>
      </w:r>
    </w:p>
    <w:p>
      <w:pPr>
        <w:pStyle w:val="BodyText"/>
      </w:pPr>
      <w:r>
        <w:t xml:space="preserve">Propriétaire Résidentielle</w:t>
      </w:r>
    </w:p>
    <w:p>
      <w:pPr>
        <w:pStyle w:val="BodyText"/>
      </w:pPr>
      <w:r>
        <w:t xml:space="preserve">45 Avenue Montaigne</w:t>
      </w:r>
    </w:p>
    <w:p>
      <w:pPr>
        <w:pStyle w:val="BodyText"/>
      </w:pPr>
      <w:r>
        <w:t xml:space="preserve">75008 Paris, France</w:t>
      </w:r>
    </w:p>
    <w:p>
      <w:pPr>
        <w:pStyle w:val="BodyText"/>
      </w:pPr>
      <w:r>
        <w:t xml:space="preserve">Email: sophie.dubois@email.fr</w:t>
      </w:r>
    </w:p>
    <w:bookmarkEnd w:id="22"/>
    <w:bookmarkStart w:id="23" w:name="project-reference"/>
    <w:p>
      <w:pPr>
        <w:pStyle w:val="Heading3"/>
      </w:pPr>
      <w:r>
        <w:t xml:space="preserve">Project Reference</w:t>
      </w:r>
    </w:p>
    <w:p>
      <w:pPr>
        <w:pStyle w:val="FirstParagraph"/>
      </w:pPr>
      <w:r>
        <w:rPr>
          <w:bCs/>
          <w:b/>
        </w:rPr>
        <w:t xml:space="preserve">Project Name:</w:t>
      </w:r>
      <w:r>
        <w:t xml:space="preserve"> </w:t>
      </w:r>
      <w:r>
        <w:t xml:space="preserve">Haussmannian Apartment Renovation</w:t>
      </w:r>
    </w:p>
    <w:p>
      <w:pPr>
        <w:pStyle w:val="BodyText"/>
      </w:pPr>
      <w:r>
        <w:rPr>
          <w:bCs/>
          <w:b/>
        </w:rPr>
        <w:t xml:space="preserve">Site Address:</w:t>
      </w:r>
      <w:r>
        <w:t xml:space="preserve"> </w:t>
      </w:r>
      <w:r>
        <w:t xml:space="preserve">45 Avenue Montaigne, Paris 8e</w:t>
      </w:r>
    </w:p>
    <w:p>
      <w:pPr>
        <w:pStyle w:val="BodyText"/>
      </w:pPr>
      <w:r>
        <w:rPr>
          <w:bCs/>
          <w:b/>
        </w:rPr>
        <w:t xml:space="preserve">Phase:</w:t>
      </w:r>
      <w:r>
        <w:t xml:space="preserve"> </w:t>
      </w:r>
      <w:r>
        <w:t xml:space="preserve">Phase 3 - Detailed Design &amp; Permits</w:t>
      </w:r>
    </w:p>
    <w:p>
      <w:pPr>
        <w:pStyle w:val="BodyText"/>
      </w:pPr>
      <w:r>
        <w:rPr>
          <w:bCs/>
          <w:b/>
        </w:rPr>
        <w:t xml:space="preserve">Contract Date:</w:t>
      </w:r>
      <w:r>
        <w:t xml:space="preserve"> </w:t>
      </w:r>
      <w:r>
        <w:t xml:space="preserve">September 15, 2024</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Architectural Services</w:t>
            </w:r>
          </w:p>
        </w:tc>
        <w:tc>
          <w:tcPr/>
          <w:p>
            <w:pPr>
              <w:pStyle w:val="Compact"/>
              <w:jc w:val="left"/>
            </w:pPr>
            <w:r>
              <w:t xml:space="preserve">Hours / Qty</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1</w:t>
            </w:r>
          </w:p>
        </w:tc>
        <w:tc>
          <w:tcPr/>
          <w:p>
            <w:pPr>
              <w:pStyle w:val="Compact"/>
              <w:jc w:val="left"/>
            </w:pPr>
            <w:r>
              <w:rPr>
                <w:bCs/>
                <w:b/>
              </w:rPr>
              <w:t xml:space="preserve">Site Analysis &amp; Feasibility Study:</w:t>
            </w:r>
            <w:r>
              <w:t xml:space="preserve"> </w:t>
            </w:r>
            <w:r>
              <w:t xml:space="preserve">Comprehensive assessment of the existing structure in Paris 8e, including structural integrity review, historical preservation constraints analysis (Monuments Historiques compliance), and zoning regulations verification specific to the City of Paris urban planning code (PLU).</w:t>
            </w:r>
          </w:p>
        </w:tc>
        <w:tc>
          <w:tcPr/>
          <w:p>
            <w:pPr>
              <w:pStyle w:val="Compact"/>
              <w:jc w:val="left"/>
            </w:pPr>
            <w:r>
              <w:t xml:space="preserve">15</w:t>
            </w:r>
          </w:p>
        </w:tc>
        <w:tc>
          <w:tcPr/>
          <w:p>
            <w:pPr>
              <w:pStyle w:val="Compact"/>
              <w:jc w:val="left"/>
            </w:pPr>
            <w:r>
              <w:t xml:space="preserve">180.00</w:t>
            </w:r>
          </w:p>
        </w:tc>
        <w:tc>
          <w:tcPr/>
          <w:p>
            <w:pPr>
              <w:pStyle w:val="Compact"/>
              <w:jc w:val="left"/>
            </w:pPr>
            <w:r>
              <w:t xml:space="preserve">2,700.00</w:t>
            </w:r>
          </w:p>
        </w:tc>
      </w:tr>
      <w:tr>
        <w:tc>
          <w:tcPr/>
          <w:p>
            <w:pPr>
              <w:pStyle w:val="Compact"/>
              <w:jc w:val="left"/>
            </w:pPr>
            <w:r>
              <w:t xml:space="preserve">2</w:t>
            </w:r>
          </w:p>
        </w:tc>
        <w:tc>
          <w:tcPr/>
          <w:p>
            <w:pPr>
              <w:pStyle w:val="Compact"/>
              <w:jc w:val="left"/>
            </w:pPr>
            <w:r>
              <w:rPr>
                <w:bCs/>
                <w:b/>
              </w:rPr>
              <w:t xml:space="preserve">Conceptual Design Development:</w:t>
            </w:r>
            <w:r>
              <w:t xml:space="preserve"> </w:t>
            </w:r>
            <w:r>
              <w:t xml:space="preserve">Creation of initial spatial layouts, massing studies, and material palettes tailored to the Haussmannian style. Includes three rounds of client presentations and revisions to align with the client's vision for modern living within a historic Parisian context.</w:t>
            </w:r>
          </w:p>
        </w:tc>
        <w:tc>
          <w:tcPr/>
          <w:p>
            <w:pPr>
              <w:pStyle w:val="Compact"/>
              <w:jc w:val="left"/>
            </w:pPr>
            <w:r>
              <w:t xml:space="preserve">25</w:t>
            </w:r>
          </w:p>
        </w:tc>
        <w:tc>
          <w:tcPr/>
          <w:p>
            <w:pPr>
              <w:pStyle w:val="Compact"/>
              <w:jc w:val="left"/>
            </w:pPr>
            <w:r>
              <w:t xml:space="preserve">180.00</w:t>
            </w:r>
          </w:p>
        </w:tc>
        <w:tc>
          <w:tcPr/>
          <w:p>
            <w:pPr>
              <w:pStyle w:val="Compact"/>
              <w:jc w:val="left"/>
            </w:pPr>
            <w:r>
              <w:t xml:space="preserve">4,500.00</w:t>
            </w:r>
          </w:p>
        </w:tc>
      </w:tr>
      <w:tr>
        <w:tc>
          <w:tcPr/>
          <w:p>
            <w:pPr>
              <w:pStyle w:val="Compact"/>
              <w:jc w:val="left"/>
            </w:pPr>
            <w:r>
              <w:t xml:space="preserve">3</w:t>
            </w:r>
          </w:p>
        </w:tc>
        <w:tc>
          <w:tcPr/>
          <w:p>
            <w:pPr>
              <w:pStyle w:val="Compact"/>
              <w:jc w:val="left"/>
            </w:pPr>
            <w:r>
              <w:rPr>
                <w:bCs/>
                <w:b/>
              </w:rPr>
              <w:t xml:space="preserve">Technical Drawings &amp; BIM Modeling:</w:t>
            </w:r>
            <w:r>
              <w:t xml:space="preserve"> </w:t>
            </w:r>
            <w:r>
              <w:t xml:space="preserve">Production of detailed architectural plans, elevations, sections, and 3D BIM models using Revit. Coordination with structural and MEP engineers to ensure seamless integration of services within the existing building fabric.</w:t>
            </w:r>
          </w:p>
        </w:tc>
        <w:tc>
          <w:tcPr/>
          <w:p>
            <w:pPr>
              <w:pStyle w:val="Compact"/>
              <w:jc w:val="left"/>
            </w:pPr>
            <w:r>
              <w:t xml:space="preserve">40</w:t>
            </w:r>
          </w:p>
        </w:tc>
        <w:tc>
          <w:tcPr/>
          <w:p>
            <w:pPr>
              <w:pStyle w:val="Compact"/>
              <w:jc w:val="left"/>
            </w:pPr>
            <w:r>
              <w:t xml:space="preserve">180.00</w:t>
            </w:r>
          </w:p>
        </w:tc>
        <w:tc>
          <w:tcPr/>
          <w:p>
            <w:pPr>
              <w:pStyle w:val="Compact"/>
              <w:jc w:val="left"/>
            </w:pPr>
            <w:r>
              <w:t xml:space="preserve">7,200.00</w:t>
            </w:r>
          </w:p>
        </w:tc>
      </w:tr>
      <w:tr>
        <w:tc>
          <w:tcPr/>
          <w:p>
            <w:pPr>
              <w:pStyle w:val="Compact"/>
              <w:jc w:val="left"/>
            </w:pPr>
            <w:r>
              <w:t xml:space="preserve">4</w:t>
            </w:r>
          </w:p>
        </w:tc>
        <w:tc>
          <w:tcPr/>
          <w:p>
            <w:pPr>
              <w:pStyle w:val="Compact"/>
              <w:jc w:val="left"/>
            </w:pPr>
            <w:r>
              <w:rPr>
                <w:bCs/>
                <w:b/>
              </w:rPr>
              <w:t xml:space="preserve">Permit Application Preparation:</w:t>
            </w:r>
            <w:r>
              <w:t xml:space="preserve"> </w:t>
            </w:r>
            <w:r>
              <w:t xml:space="preserve">Compilation and submission of the "Déclaration Préalable" and "Permis de Construire" documentation to the Mairie de Paris. Includes preparation of the architectural dossier, environmental impact assessment summary, and neighborhood notification plans.</w:t>
            </w:r>
          </w:p>
        </w:tc>
        <w:tc>
          <w:tcPr/>
          <w:p>
            <w:pPr>
              <w:pStyle w:val="Compact"/>
              <w:jc w:val="left"/>
            </w:pPr>
            <w:r>
              <w:t xml:space="preserve">20</w:t>
            </w:r>
          </w:p>
        </w:tc>
        <w:tc>
          <w:tcPr/>
          <w:p>
            <w:pPr>
              <w:pStyle w:val="Compact"/>
              <w:jc w:val="left"/>
            </w:pPr>
            <w:r>
              <w:t xml:space="preserve">180.00</w:t>
            </w:r>
          </w:p>
        </w:tc>
        <w:tc>
          <w:tcPr/>
          <w:p>
            <w:pPr>
              <w:pStyle w:val="Compact"/>
              <w:jc w:val="left"/>
            </w:pPr>
            <w:r>
              <w:t xml:space="preserve">3,600.00</w:t>
            </w:r>
          </w:p>
        </w:tc>
      </w:tr>
      <w:tr>
        <w:tc>
          <w:tcPr/>
          <w:p>
            <w:pPr>
              <w:pStyle w:val="Compact"/>
              <w:jc w:val="left"/>
            </w:pPr>
            <w:r>
              <w:t xml:space="preserve">5</w:t>
            </w:r>
          </w:p>
        </w:tc>
        <w:tc>
          <w:tcPr/>
          <w:p>
            <w:pPr>
              <w:pStyle w:val="Compact"/>
              <w:jc w:val="left"/>
            </w:pPr>
            <w:r>
              <w:rPr>
                <w:bCs/>
                <w:b/>
              </w:rPr>
              <w:t xml:space="preserve">Interior Design Consultation:</w:t>
            </w:r>
            <w:r>
              <w:t xml:space="preserve"> </w:t>
            </w:r>
            <w:r>
              <w:t xml:space="preserve">Selection of finishes, fixtures, and fittings (FF&amp;E) compliant with French building standards (NF). Coordination with local artisans for custom joinery and restoration of original moldings and parquet flooring.</w:t>
            </w:r>
          </w:p>
        </w:tc>
        <w:tc>
          <w:tcPr/>
          <w:p>
            <w:pPr>
              <w:pStyle w:val="Compact"/>
              <w:jc w:val="left"/>
            </w:pPr>
            <w:r>
              <w:t xml:space="preserve">10</w:t>
            </w:r>
          </w:p>
        </w:tc>
        <w:tc>
          <w:tcPr/>
          <w:p>
            <w:pPr>
              <w:pStyle w:val="Compact"/>
              <w:jc w:val="left"/>
            </w:pPr>
            <w:r>
              <w:t xml:space="preserve">180.00</w:t>
            </w:r>
          </w:p>
        </w:tc>
        <w:tc>
          <w:tcPr/>
          <w:p>
            <w:pPr>
              <w:pStyle w:val="Compact"/>
              <w:jc w:val="left"/>
            </w:pPr>
            <w:r>
              <w:t xml:space="preserve">1,800.00</w:t>
            </w:r>
          </w:p>
        </w:tc>
      </w:tr>
      <w:tr>
        <w:tc>
          <w:tcPr/>
          <w:p>
            <w:pPr>
              <w:pStyle w:val="Compact"/>
              <w:jc w:val="left"/>
            </w:pPr>
            <w:r>
              <w:t xml:space="preserve">6</w:t>
            </w:r>
          </w:p>
        </w:tc>
        <w:tc>
          <w:tcPr/>
          <w:p>
            <w:pPr>
              <w:pStyle w:val="Compact"/>
              <w:jc w:val="left"/>
            </w:pPr>
            <w:r>
              <w:rPr>
                <w:bCs/>
                <w:b/>
              </w:rPr>
              <w:t xml:space="preserve">Project Management &amp; Coordination:</w:t>
            </w:r>
            <w:r>
              <w:t xml:space="preserve"> </w:t>
            </w:r>
            <w:r>
              <w:t xml:space="preserve">Oversight of subcontractor bids, schedule management, and quality control during the pre-construction phase. Ensuring adherence to the "Code de la Construction et de l'Habitation" (CCH).</w:t>
            </w:r>
          </w:p>
        </w:tc>
        <w:tc>
          <w:tcPr/>
          <w:p>
            <w:pPr>
              <w:pStyle w:val="Compact"/>
              <w:jc w:val="left"/>
            </w:pPr>
            <w:r>
              <w:t xml:space="preserve">15</w:t>
            </w:r>
          </w:p>
        </w:tc>
        <w:tc>
          <w:tcPr/>
          <w:p>
            <w:pPr>
              <w:pStyle w:val="Compact"/>
              <w:jc w:val="left"/>
            </w:pPr>
            <w:r>
              <w:t xml:space="preserve">180.00</w:t>
            </w:r>
          </w:p>
        </w:tc>
        <w:tc>
          <w:tcPr/>
          <w:p>
            <w:pPr>
              <w:pStyle w:val="Compact"/>
              <w:jc w:val="left"/>
            </w:pPr>
            <w:r>
              <w:t xml:space="preserve">2,700.00</w:t>
            </w:r>
          </w:p>
        </w:tc>
      </w:tr>
    </w:tbl>
    <w:p>
      <w:pPr>
        <w:pStyle w:val="BodyText"/>
      </w:pPr>
      <w:r>
        <w:t xml:space="preserve">Subtotal (HT)</w:t>
      </w:r>
      <w:r>
        <w:t xml:space="preserve"> </w:t>
      </w:r>
      <w:r>
        <w:t xml:space="preserve">22,500.00 €</w:t>
      </w:r>
    </w:p>
    <w:p>
      <w:pPr>
        <w:pStyle w:val="BodyText"/>
      </w:pPr>
      <w:r>
        <w:t xml:space="preserve">VAT (TVA) @ 20%</w:t>
      </w:r>
      <w:r>
        <w:t xml:space="preserve"> </w:t>
      </w:r>
      <w:r>
        <w:t xml:space="preserve">4,500.00 €</w:t>
      </w:r>
    </w:p>
    <w:p>
      <w:pPr>
        <w:pStyle w:val="BodyText"/>
      </w:pPr>
      <w:r>
        <w:t xml:space="preserve">Total Due (TTC)</w:t>
      </w:r>
      <w:r>
        <w:t xml:space="preserve"> </w:t>
      </w:r>
      <w:r>
        <w:t xml:space="preserve">27,000.00 €</w:t>
      </w:r>
    </w:p>
    <w:bookmarkStart w:id="24" w:name="payment-instructions-legal-notes"/>
    <w:p>
      <w:pPr>
        <w:pStyle w:val="Heading4"/>
      </w:pPr>
      <w:r>
        <w:t xml:space="preserve">Payment Instructions &amp; Legal Notes</w:t>
      </w:r>
    </w:p>
    <w:p>
      <w:pPr>
        <w:pStyle w:val="FirstParagraph"/>
      </w:pPr>
      <w:r>
        <w:rPr>
          <w:bCs/>
          <w:b/>
        </w:rPr>
        <w:t xml:space="preserve">Bank Transfer (Virement Bancaire):</w:t>
      </w:r>
      <w:r>
        <w:br/>
      </w:r>
      <w:r>
        <w:t xml:space="preserve">Bank: BNP Paribas, Paris</w:t>
      </w:r>
      <w:r>
        <w:br/>
      </w:r>
      <w:r>
        <w:t xml:space="preserve">IBAN: FR76 3000 4000 0100 0000 0000 000</w:t>
      </w:r>
      <w:r>
        <w:br/>
      </w:r>
      <w:r>
        <w:t xml:space="preserve">BIC: BNPAFRPP</w:t>
      </w:r>
      <w:r>
        <w:br/>
      </w:r>
      <w:r>
        <w:t xml:space="preserve">Reference: INV-2024-089</w:t>
      </w:r>
    </w:p>
    <w:p>
      <w:pPr>
        <w:pStyle w:val="BodyText"/>
      </w:pPr>
      <w:r>
        <w:rPr>
          <w:bCs/>
          <w:b/>
        </w:rPr>
        <w:t xml:space="preserve">Legal Compliance:</w:t>
      </w:r>
      <w:r>
        <w:t xml:space="preserve"> </w:t>
      </w:r>
      <w:r>
        <w:t xml:space="preserve">This invoice is issued in accordance with French tax law (Code Général des Impôts). The VAT rate of 20% applies to architectural services for residential renovation in France. Late payments will incur interest at the legal rate defined by the French government plus a fixed penalty of €40.</w:t>
      </w:r>
    </w:p>
    <w:p>
      <w:pPr>
        <w:pStyle w:val="BodyText"/>
      </w:pPr>
      <w:r>
        <w:rPr>
          <w:bCs/>
          <w:b/>
        </w:rPr>
        <w:t xml:space="preserve">Architectural Responsibility:</w:t>
      </w:r>
      <w:r>
        <w:t xml:space="preserve"> </w:t>
      </w:r>
      <w:r>
        <w:t xml:space="preserve">As a registered Architect in France, Atelier Lumière Architecture assumes professional liability for the design services rendered. This invoice covers the professional fees only; third-party costs (permits, engineering, surveys) are billed separately or reimbursed upon presentation of receipts.</w:t>
      </w:r>
    </w:p>
    <w:p>
      <w:pPr>
        <w:pStyle w:val="BodyText"/>
      </w:pPr>
      <w:r>
        <w:rPr>
          <w:bCs/>
          <w:b/>
        </w:rPr>
        <w:t xml:space="preserve">Paris Specifics:</w:t>
      </w:r>
      <w:r>
        <w:t xml:space="preserve"> </w:t>
      </w:r>
      <w:r>
        <w:t xml:space="preserve">All designs adhere to the strict aesthetic and structural guidelines imposed by the City of Paris for heritage buildings. Any modifications required by the "Commission du Vieux Paris" will be addressed in a subsequent change order.</w:t>
      </w:r>
    </w:p>
    <w:bookmarkEnd w:id="24"/>
    <w:p>
      <w:pPr>
        <w:pStyle w:val="BodyText"/>
      </w:pPr>
      <w:r>
        <w:rPr>
          <w:bCs/>
          <w:b/>
        </w:rPr>
        <w:t xml:space="preserve">Accepted by Client:</w:t>
      </w:r>
    </w:p>
    <w:p>
      <w:pPr>
        <w:pStyle w:val="BodyText"/>
      </w:pPr>
      <w:r>
        <w:t xml:space="preserve">Date: _______________</w:t>
      </w:r>
    </w:p>
    <w:p>
      <w:pPr>
        <w:pStyle w:val="BodyText"/>
      </w:pPr>
      <w:r>
        <w:t xml:space="preserve">Signature: _______________</w:t>
      </w:r>
    </w:p>
    <w:p>
      <w:pPr>
        <w:pStyle w:val="BodyText"/>
      </w:pPr>
      <w:r>
        <w:rPr>
          <w:bCs/>
          <w:b/>
        </w:rPr>
        <w:t xml:space="preserve">Issued by Architect:</w:t>
      </w:r>
    </w:p>
    <w:p>
      <w:pPr>
        <w:pStyle w:val="BodyText"/>
      </w:pPr>
      <w:r>
        <w:t xml:space="preserve">Julien Moreau, Architecte DPLG</w:t>
      </w:r>
    </w:p>
    <w:p>
      <w:pPr>
        <w:pStyle w:val="BodyText"/>
      </w:pPr>
      <w:r>
        <w:t xml:space="preserve">Atelier Lumière Architecture</w:t>
      </w:r>
    </w:p>
    <w:p>
      <w:pPr>
        <w:pStyle w:val="BodyText"/>
      </w:pPr>
      <w:r>
        <w:t xml:space="preserve">Atelier Lumière Architecture | 12 Rue de Rivoli, 75004 Paris, France | +33 1 42 78 90 12</w:t>
      </w:r>
    </w:p>
    <w:p>
      <w:pPr>
        <w:pStyle w:val="BodyText"/>
      </w:pPr>
      <w:r>
        <w:t xml:space="preserve">This document is a valid tax invoice for services rendered in the European Union.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Architectural Services Invoice - Paris, France</dc:title>
  <dc:creator/>
  <dc:language>en</dc:language>
  <cp:keywords/>
  <dcterms:created xsi:type="dcterms:W3CDTF">2026-10-10T02:31:05Z</dcterms:created>
  <dcterms:modified xsi:type="dcterms:W3CDTF">2026-10-10T02:31:05Z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