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Architectural</w:t>
      </w:r>
      <w:r>
        <w:t xml:space="preserve"> </w:t>
      </w:r>
      <w:r>
        <w:t xml:space="preserve">Services</w:t>
      </w:r>
      <w:r>
        <w:t xml:space="preserve"> </w:t>
      </w:r>
      <w:r>
        <w:t xml:space="preserve">Invoice</w:t>
      </w:r>
      <w:r>
        <w:t xml:space="preserve"> </w:t>
      </w:r>
      <w:r>
        <w:t xml:space="preserve">-</w:t>
      </w:r>
      <w:r>
        <w:t xml:space="preserve"> </w:t>
      </w:r>
      <w:r>
        <w:t xml:space="preserve">Frankfurt,</w:t>
      </w:r>
      <w:r>
        <w:t xml:space="preserve"> </w:t>
      </w:r>
      <w:r>
        <w:t xml:space="preserve">Germany</w:t>
      </w:r>
    </w:p>
    <w:bookmarkStart w:id="20" w:name="frankfurt-urban-design-studio"/>
    <w:p>
      <w:pPr>
        <w:pStyle w:val="Heading1"/>
      </w:pPr>
      <w:r>
        <w:t xml:space="preserve">Frankfurt Urban Design Studio</w:t>
      </w:r>
    </w:p>
    <w:p>
      <w:pPr>
        <w:pStyle w:val="FirstParagraph"/>
      </w:pPr>
      <w:r>
        <w:rPr>
          <w:bCs/>
          <w:b/>
        </w:rPr>
        <w:t xml:space="preserve">Lead Architect:</w:t>
      </w:r>
      <w:r>
        <w:t xml:space="preserve"> </w:t>
      </w:r>
      <w:r>
        <w:t xml:space="preserve">Dr. Klaus Weber, BDA</w:t>
      </w:r>
    </w:p>
    <w:p>
      <w:pPr>
        <w:pStyle w:val="BodyText"/>
      </w:pPr>
      <w:r>
        <w:t xml:space="preserve">Mainzer Landstraße 120</w:t>
      </w:r>
    </w:p>
    <w:p>
      <w:pPr>
        <w:pStyle w:val="BodyText"/>
      </w:pPr>
      <w:r>
        <w:t xml:space="preserve">60325 Frankfurt am Main, Germany</w:t>
      </w:r>
    </w:p>
    <w:p>
      <w:pPr>
        <w:pStyle w:val="BodyText"/>
      </w:pPr>
      <w:r>
        <w:t xml:space="preserve">Phone: +49 69 12345678</w:t>
      </w:r>
    </w:p>
    <w:p>
      <w:pPr>
        <w:pStyle w:val="BodyText"/>
      </w:pPr>
      <w:r>
        <w:t xml:space="preserve">Email: billing@frankfurt-urban-design.de</w:t>
      </w:r>
    </w:p>
    <w:p>
      <w:pPr>
        <w:pStyle w:val="BodyText"/>
      </w:pPr>
      <w:r>
        <w:t xml:space="preserve">VAT ID (USt-IdNr.): DE123456789</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23, 2023</w:t>
      </w:r>
    </w:p>
    <w:p>
      <w:pPr>
        <w:pStyle w:val="BodyText"/>
      </w:pPr>
      <w:r>
        <w:rPr>
          <w:bCs/>
          <w:b/>
        </w:rPr>
        <w:t xml:space="preserve">Project Reference:</w:t>
      </w:r>
      <w:r>
        <w:t xml:space="preserve"> </w:t>
      </w:r>
      <w:r>
        <w:t xml:space="preserve">Main Tower Renovation Phase II</w:t>
      </w:r>
    </w:p>
    <w:bookmarkEnd w:id="21"/>
    <w:bookmarkStart w:id="22" w:name="bill-to"/>
    <w:p>
      <w:pPr>
        <w:pStyle w:val="Heading3"/>
      </w:pPr>
      <w:r>
        <w:t xml:space="preserve">Bill To:</w:t>
      </w:r>
    </w:p>
    <w:p>
      <w:pPr>
        <w:pStyle w:val="FirstParagraph"/>
      </w:pPr>
      <w:r>
        <w:rPr>
          <w:bCs/>
          <w:b/>
        </w:rPr>
        <w:t xml:space="preserve">Hessen Real Estate Development GmbH</w:t>
      </w:r>
    </w:p>
    <w:p>
      <w:pPr>
        <w:pStyle w:val="BodyText"/>
      </w:pPr>
      <w:r>
        <w:t xml:space="preserve">Attn: Procurement Department</w:t>
      </w:r>
    </w:p>
    <w:p>
      <w:pPr>
        <w:pStyle w:val="BodyText"/>
      </w:pPr>
      <w:r>
        <w:t xml:space="preserve">Opernplatz 14</w:t>
      </w:r>
    </w:p>
    <w:p>
      <w:pPr>
        <w:pStyle w:val="BodyText"/>
      </w:pPr>
      <w:r>
        <w:t xml:space="preserve">60313 Frankfurt am Main, Germany</w:t>
      </w:r>
    </w:p>
    <w:p>
      <w:pPr>
        <w:pStyle w:val="BodyText"/>
      </w:pPr>
      <w:r>
        <w:t xml:space="preserve">VAT ID: DE987654321</w:t>
      </w:r>
    </w:p>
    <w:bookmarkEnd w:id="22"/>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Architectural Services</w:t>
            </w:r>
          </w:p>
        </w:tc>
        <w:tc>
          <w:tcPr/>
          <w:p>
            <w:pPr>
              <w:pStyle w:val="Compact"/>
              <w:jc w:val="left"/>
            </w:pPr>
            <w:r>
              <w:t xml:space="preserve">Hours / Qty</w:t>
            </w:r>
          </w:p>
        </w:tc>
        <w:tc>
          <w:tcPr/>
          <w:p>
            <w:pPr>
              <w:pStyle w:val="Compact"/>
              <w:jc w:val="left"/>
            </w:pPr>
            <w:r>
              <w:t xml:space="preserve">Rate /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rPr>
                <w:bCs/>
                <w:b/>
              </w:rPr>
              <w:t xml:space="preserve">HOAI Phase 1 &amp; 2: Basic and Preliminary Planning</w:t>
            </w:r>
            <w:r>
              <w:br/>
            </w:r>
            <w:r>
              <w:t xml:space="preserve">Comprehensive site analysis of the Frankfurt property, including topographical surveys and zoning regulation review in accordance with local Bauplanungsrecht. Development of initial conceptual sketches and feasibility studies for the renovation project.</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2</w:t>
            </w:r>
          </w:p>
        </w:tc>
        <w:tc>
          <w:tcPr/>
          <w:p>
            <w:pPr>
              <w:pStyle w:val="Compact"/>
              <w:jc w:val="left"/>
            </w:pPr>
            <w:r>
              <w:rPr>
                <w:bCs/>
                <w:b/>
              </w:rPr>
              <w:t xml:space="preserve">HOAI Phase 3: Development Planning</w:t>
            </w:r>
            <w:r>
              <w:br/>
            </w:r>
            <w:r>
              <w:t xml:space="preserve">Refinement of architectural concepts, including 3D modeling and rendering. Coordination with structural engineers and MEP consultants based in Frankfurt. Preparation of preliminary cost estimates and material selection boards.</w:t>
            </w:r>
          </w:p>
        </w:tc>
        <w:tc>
          <w:tcPr/>
          <w:p>
            <w:pPr>
              <w:pStyle w:val="Compact"/>
              <w:jc w:val="left"/>
            </w:pPr>
            <w:r>
              <w:t xml:space="preserve">1</w:t>
            </w:r>
          </w:p>
        </w:tc>
        <w:tc>
          <w:tcPr/>
          <w:p>
            <w:pPr>
              <w:pStyle w:val="Compact"/>
              <w:jc w:val="left"/>
            </w:pPr>
            <w:r>
              <w:t xml:space="preserve">18,750.00</w:t>
            </w:r>
          </w:p>
        </w:tc>
        <w:tc>
          <w:tcPr/>
          <w:p>
            <w:pPr>
              <w:pStyle w:val="Compact"/>
              <w:jc w:val="left"/>
            </w:pPr>
            <w:r>
              <w:t xml:space="preserve">18,750.00</w:t>
            </w:r>
          </w:p>
        </w:tc>
      </w:tr>
      <w:tr>
        <w:tc>
          <w:tcPr/>
          <w:p>
            <w:pPr>
              <w:pStyle w:val="Compact"/>
              <w:jc w:val="left"/>
            </w:pPr>
            <w:r>
              <w:t xml:space="preserve">3</w:t>
            </w:r>
          </w:p>
        </w:tc>
        <w:tc>
          <w:tcPr/>
          <w:p>
            <w:pPr>
              <w:pStyle w:val="Compact"/>
              <w:jc w:val="left"/>
            </w:pPr>
            <w:r>
              <w:rPr>
                <w:bCs/>
                <w:b/>
              </w:rPr>
              <w:t xml:space="preserve">HOAI Phase 4: Execution Planning (Ausführungsplanung)</w:t>
            </w:r>
            <w:r>
              <w:br/>
            </w:r>
            <w:r>
              <w:t xml:space="preserve">Creation of detailed technical drawings required for the building permit application (Baugenehmigung) at the Frankfurt Building Authority. Detailed specifications for facade systems and interior finishes.</w:t>
            </w:r>
          </w:p>
        </w:tc>
        <w:tc>
          <w:tcPr/>
          <w:p>
            <w:pPr>
              <w:pStyle w:val="Compact"/>
              <w:jc w:val="left"/>
            </w:pPr>
            <w:r>
              <w:t xml:space="preserve">1</w:t>
            </w:r>
          </w:p>
        </w:tc>
        <w:tc>
          <w:tcPr/>
          <w:p>
            <w:pPr>
              <w:pStyle w:val="Compact"/>
              <w:jc w:val="left"/>
            </w:pPr>
            <w:r>
              <w:t xml:space="preserve">24,000.00</w:t>
            </w:r>
          </w:p>
        </w:tc>
        <w:tc>
          <w:tcPr/>
          <w:p>
            <w:pPr>
              <w:pStyle w:val="Compact"/>
              <w:jc w:val="left"/>
            </w:pPr>
            <w:r>
              <w:t xml:space="preserve">24,000.00</w:t>
            </w:r>
          </w:p>
        </w:tc>
      </w:tr>
      <w:tr>
        <w:tc>
          <w:tcPr/>
          <w:p>
            <w:pPr>
              <w:pStyle w:val="Compact"/>
              <w:jc w:val="left"/>
            </w:pPr>
            <w:r>
              <w:t xml:space="preserve">4</w:t>
            </w:r>
          </w:p>
        </w:tc>
        <w:tc>
          <w:tcPr/>
          <w:p>
            <w:pPr>
              <w:pStyle w:val="Compact"/>
              <w:jc w:val="left"/>
            </w:pPr>
            <w:r>
              <w:rPr>
                <w:bCs/>
                <w:b/>
              </w:rPr>
              <w:t xml:space="preserve">HOAI Phase 5: Tender Preparation</w:t>
            </w:r>
            <w:r>
              <w:br/>
            </w:r>
            <w:r>
              <w:t xml:space="preserve">Preparation of tender documents and bill of quantities. Review of contractor bids to ensure compliance with architectural specifications and German construction standards (DIN).</w:t>
            </w:r>
          </w:p>
        </w:tc>
        <w:tc>
          <w:tcPr/>
          <w:p>
            <w:pPr>
              <w:pStyle w:val="Compact"/>
              <w:jc w:val="left"/>
            </w:pPr>
            <w:r>
              <w:t xml:space="preserve">1</w:t>
            </w:r>
          </w:p>
        </w:tc>
        <w:tc>
          <w:tcPr/>
          <w:p>
            <w:pPr>
              <w:pStyle w:val="Compact"/>
              <w:jc w:val="left"/>
            </w:pPr>
            <w:r>
              <w:t xml:space="preserve">9,500.00</w:t>
            </w:r>
          </w:p>
        </w:tc>
        <w:tc>
          <w:tcPr/>
          <w:p>
            <w:pPr>
              <w:pStyle w:val="Compact"/>
              <w:jc w:val="left"/>
            </w:pPr>
            <w:r>
              <w:t xml:space="preserve">9,500.00</w:t>
            </w:r>
          </w:p>
        </w:tc>
      </w:tr>
      <w:tr>
        <w:tc>
          <w:tcPr/>
          <w:p>
            <w:pPr>
              <w:pStyle w:val="Compact"/>
              <w:jc w:val="left"/>
            </w:pPr>
            <w:r>
              <w:t xml:space="preserve">5</w:t>
            </w:r>
          </w:p>
        </w:tc>
        <w:tc>
          <w:tcPr/>
          <w:p>
            <w:pPr>
              <w:pStyle w:val="Compact"/>
              <w:jc w:val="left"/>
            </w:pPr>
            <w:r>
              <w:rPr>
                <w:bCs/>
                <w:b/>
              </w:rPr>
              <w:t xml:space="preserve">HOAI Phase 6: Construction Supervision (Bauleitung)</w:t>
            </w:r>
            <w:r>
              <w:br/>
            </w:r>
            <w:r>
              <w:t xml:space="preserve">On-site supervision of construction activities in Frankfurt for the period of September 1 to October 31, 2023. Includes weekly site visits, quality control checks, and coordination meetings with the general contractor.</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6</w:t>
            </w:r>
          </w:p>
        </w:tc>
        <w:tc>
          <w:tcPr/>
          <w:p>
            <w:pPr>
              <w:pStyle w:val="Compact"/>
              <w:jc w:val="left"/>
            </w:pPr>
            <w:r>
              <w:rPr>
                <w:bCs/>
                <w:b/>
              </w:rPr>
              <w:t xml:space="preserve">Special Consultation: Energy Efficiency Compliance</w:t>
            </w:r>
            <w:r>
              <w:br/>
            </w:r>
            <w:r>
              <w:t xml:space="preserve">Advisory services regarding GEG (Gebäudeenergiegesetz) compliance. Optimization of building envelope design to meet Frankfurt's strict sustainability requirements and energy efficiency targets.</w:t>
            </w:r>
          </w:p>
        </w:tc>
        <w:tc>
          <w:tcPr/>
          <w:p>
            <w:pPr>
              <w:pStyle w:val="Compact"/>
              <w:jc w:val="left"/>
            </w:pPr>
            <w:r>
              <w:t xml:space="preserve">12</w:t>
            </w:r>
          </w:p>
        </w:tc>
        <w:tc>
          <w:tcPr/>
          <w:p>
            <w:pPr>
              <w:pStyle w:val="Compact"/>
              <w:jc w:val="left"/>
            </w:pPr>
            <w:r>
              <w:t xml:space="preserve">180.00</w:t>
            </w:r>
          </w:p>
        </w:tc>
        <w:tc>
          <w:tcPr/>
          <w:p>
            <w:pPr>
              <w:pStyle w:val="Compact"/>
              <w:jc w:val="left"/>
            </w:pPr>
            <w:r>
              <w:t xml:space="preserve">2,160.00</w:t>
            </w:r>
          </w:p>
        </w:tc>
      </w:tr>
      <w:tr>
        <w:tc>
          <w:tcPr/>
          <w:p>
            <w:pPr>
              <w:pStyle w:val="Compact"/>
              <w:jc w:val="left"/>
            </w:pPr>
            <w:r>
              <w:t xml:space="preserve">7</w:t>
            </w:r>
          </w:p>
        </w:tc>
        <w:tc>
          <w:tcPr/>
          <w:p>
            <w:pPr>
              <w:pStyle w:val="Compact"/>
              <w:jc w:val="left"/>
            </w:pPr>
            <w:r>
              <w:rPr>
                <w:bCs/>
                <w:b/>
              </w:rPr>
              <w:t xml:space="preserve">Reimbursement: Printing and Plotting</w:t>
            </w:r>
            <w:r>
              <w:br/>
            </w:r>
            <w:r>
              <w:t xml:space="preserve">Large format printing of architectural plans (A0/A1) for submission to the local Bauamt and client review meetings.</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bl>
    <w:p>
      <w:pPr>
        <w:pStyle w:val="BodyText"/>
      </w:pPr>
      <w:r>
        <w:t xml:space="preserve">Subtotal (Net Amount):</w:t>
      </w:r>
      <w:r>
        <w:t xml:space="preserve"> </w:t>
      </w:r>
      <w:r>
        <w:t xml:space="preserve">82,360.00 EUR</w:t>
      </w:r>
    </w:p>
    <w:p>
      <w:pPr>
        <w:pStyle w:val="BodyText"/>
      </w:pPr>
      <w:r>
        <w:t xml:space="preserve">VAT (19% Umsatzsteuer):</w:t>
      </w:r>
      <w:r>
        <w:t xml:space="preserve"> </w:t>
      </w:r>
      <w:r>
        <w:t xml:space="preserve">15,648.40 EUR</w:t>
      </w:r>
    </w:p>
    <w:p>
      <w:pPr>
        <w:pStyle w:val="BodyText"/>
      </w:pPr>
      <w:r>
        <w:t xml:space="preserve">Total Due:</w:t>
      </w:r>
      <w:r>
        <w:t xml:space="preserve"> </w:t>
      </w:r>
      <w:r>
        <w:t xml:space="preserve">98,008.40 EUR</w:t>
      </w:r>
    </w:p>
    <w:p>
      <w:pPr>
        <w:pStyle w:val="BodyText"/>
      </w:pPr>
      <w:r>
        <w:rPr>
          <w:bCs/>
          <w:b/>
        </w:rPr>
        <w:t xml:space="preserve">Payment Instructions:</w:t>
      </w:r>
      <w:r>
        <w:br/>
      </w:r>
      <w:r>
        <w:t xml:space="preserve">Please transfer the total amount to the following bank account within 30 days of the invoice date.</w:t>
      </w:r>
      <w:r>
        <w:br/>
      </w:r>
      <w:r>
        <w:br/>
      </w:r>
      <w:r>
        <w:rPr>
          <w:bCs/>
          <w:b/>
        </w:rPr>
        <w:t xml:space="preserve">Bank Name:</w:t>
      </w:r>
      <w:r>
        <w:t xml:space="preserve"> </w:t>
      </w:r>
      <w:r>
        <w:t xml:space="preserve">Commerzbank AG Frankfurt</w:t>
      </w:r>
      <w:r>
        <w:br/>
      </w:r>
      <w:r>
        <w:rPr>
          <w:bCs/>
          <w:b/>
        </w:rPr>
        <w:t xml:space="preserve">Account Holder:</w:t>
      </w:r>
      <w:r>
        <w:t xml:space="preserve"> </w:t>
      </w:r>
      <w:r>
        <w:t xml:space="preserve">Frankfurt Urban Design Studio GmbH</w:t>
      </w:r>
      <w:r>
        <w:br/>
      </w:r>
      <w:r>
        <w:rPr>
          <w:bCs/>
          <w:b/>
        </w:rPr>
        <w:t xml:space="preserve">IBAN:</w:t>
      </w:r>
      <w:r>
        <w:t xml:space="preserve"> </w:t>
      </w:r>
      <w:r>
        <w:t xml:space="preserve">DE89 5004 0000 0012 3456 78</w:t>
      </w:r>
      <w:r>
        <w:br/>
      </w:r>
      <w:r>
        <w:rPr>
          <w:bCs/>
          <w:b/>
        </w:rPr>
        <w:t xml:space="preserve">BIC:</w:t>
      </w:r>
      <w:r>
        <w:t xml:space="preserve"> </w:t>
      </w:r>
      <w:r>
        <w:t xml:space="preserve">COBADEFFXXX</w:t>
      </w:r>
      <w:r>
        <w:br/>
      </w:r>
      <w:r>
        <w:rPr>
          <w:bCs/>
          <w:b/>
        </w:rPr>
        <w:t xml:space="preserve">Reference:</w:t>
      </w:r>
      <w:r>
        <w:t xml:space="preserve"> </w:t>
      </w:r>
      <w:r>
        <w:t xml:space="preserve">INV-2023-10-045</w:t>
      </w:r>
    </w:p>
    <w:bookmarkStart w:id="23" w:name="terms-and-conditions-legal-notes"/>
    <w:p>
      <w:pPr>
        <w:pStyle w:val="Heading4"/>
      </w:pPr>
      <w:r>
        <w:t xml:space="preserve">Terms and Conditions &amp; Legal Notes:</w:t>
      </w:r>
    </w:p>
    <w:p>
      <w:pPr>
        <w:pStyle w:val="FirstParagraph"/>
      </w:pPr>
      <w:r>
        <w:t xml:space="preserve">This invoice is issued in accordance with the German Fee Scale for Architects, Engineers, and Landscape Architects (HOAI). The services rendered are strictly professional architectural services provided within the jurisdiction of Frankfurt am Main, Germany.</w:t>
      </w:r>
    </w:p>
    <w:p>
      <w:pPr>
        <w:pStyle w:val="BodyText"/>
      </w:pPr>
      <w:r>
        <w:rPr>
          <w:bCs/>
          <w:b/>
        </w:rPr>
        <w:t xml:space="preserve">Payment Terms:</w:t>
      </w:r>
      <w:r>
        <w:t xml:space="preserve"> </w:t>
      </w:r>
      <w:r>
        <w:t xml:space="preserve">Payment is due within 30 days of the invoice date without deduction. In the event of late payment, statutory interest rates applicable in Germany will be charged.</w:t>
      </w:r>
    </w:p>
    <w:p>
      <w:pPr>
        <w:pStyle w:val="BodyText"/>
      </w:pPr>
      <w:r>
        <w:rPr>
          <w:bCs/>
          <w:b/>
        </w:rPr>
        <w:t xml:space="preserve">Validity:</w:t>
      </w:r>
      <w:r>
        <w:t xml:space="preserve"> </w:t>
      </w:r>
      <w:r>
        <w:t xml:space="preserve">This invoice is valid for the specific project phases outlined above. Any additional services requested by the client outside the scope of this invoice will be billed separately based on the agreed hourly rates or HOAI fee scales.</w:t>
      </w:r>
    </w:p>
    <w:p>
      <w:pPr>
        <w:pStyle w:val="BodyText"/>
      </w:pPr>
      <w:r>
        <w:rPr>
          <w:bCs/>
          <w:b/>
        </w:rPr>
        <w:t xml:space="preserve">Dispute Resolution:</w:t>
      </w:r>
      <w:r>
        <w:t xml:space="preserve"> </w:t>
      </w:r>
      <w:r>
        <w:t xml:space="preserve">Any disputes arising from this invoice or the associated architectural services shall be subject to the exclusive jurisdiction of the courts in Frankfurt am Main, Germany, unless mandatory law provides otherwise.</w:t>
      </w:r>
    </w:p>
    <w:p>
      <w:pPr>
        <w:pStyle w:val="BodyText"/>
      </w:pPr>
      <w:r>
        <w:t xml:space="preserve">Thank you for your business and for choosing Frankfurt Urban Design Studio for your architectural needs in Germany. We look forward to continuing our collaboration on this prestigious project.</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Architectural Services Invoice - Frankfurt, Germany</dc:title>
  <dc:creator/>
  <dc:language>en</dc:language>
  <cp:keywords/>
  <dcterms:created xsi:type="dcterms:W3CDTF">2026-10-10T08:29:57Z</dcterms:created>
  <dcterms:modified xsi:type="dcterms:W3CDTF">2026-10-10T08:29:57Z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