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bookmarkStart w:id="20" w:name="delhi-heritage-architects"/>
    <w:p>
      <w:pPr>
        <w:pStyle w:val="Heading1"/>
      </w:pPr>
      <w:r>
        <w:t xml:space="preserve">Delhi Heritage Architects</w:t>
      </w:r>
    </w:p>
    <w:p>
      <w:pPr>
        <w:pStyle w:val="FirstParagraph"/>
      </w:pPr>
      <w:r>
        <w:t xml:space="preserve">Registered Architectural Firm | RERA Authorized</w:t>
      </w:r>
    </w:p>
    <w:p>
      <w:pPr>
        <w:pStyle w:val="BodyText"/>
      </w:pPr>
      <w:r>
        <w:t xml:space="preserve">Plot No. 42, Sector 29, Dwarka</w:t>
      </w:r>
    </w:p>
    <w:p>
      <w:pPr>
        <w:pStyle w:val="BodyText"/>
      </w:pPr>
      <w:r>
        <w:t xml:space="preserve">New Delhi, India - 110075</w:t>
      </w:r>
    </w:p>
    <w:p>
      <w:pPr>
        <w:pStyle w:val="BodyText"/>
      </w:pPr>
      <w:r>
        <w:t xml:space="preserve">Phone: +91-11-4567-8900 | Email: billing@delhiheritage.in</w:t>
      </w:r>
    </w:p>
    <w:p>
      <w:pPr>
        <w:pStyle w:val="BodyText"/>
      </w:pPr>
      <w:r>
        <w:t xml:space="preserve">GSTIN: 07AABCD1234E1Z5</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Mr. Arjun Mehta</w:t>
      </w:r>
    </w:p>
    <w:p>
      <w:pPr>
        <w:pStyle w:val="BodyText"/>
      </w:pPr>
      <w:r>
        <w:t xml:space="preserve">Green Valley Residency Project</w:t>
      </w:r>
    </w:p>
    <w:p>
      <w:pPr>
        <w:pStyle w:val="BodyText"/>
      </w:pPr>
      <w:r>
        <w:t xml:space="preserve">House No. 15, Lajpat Nagar III</w:t>
      </w:r>
    </w:p>
    <w:p>
      <w:pPr>
        <w:pStyle w:val="BodyText"/>
      </w:pPr>
      <w:r>
        <w:t xml:space="preserve">New Delhi, India - 110024</w:t>
      </w:r>
    </w:p>
    <w:p>
      <w:pPr>
        <w:pStyle w:val="BodyText"/>
      </w:pPr>
      <w:r>
        <w:t xml:space="preserve">GSTIN: 07AAGPM5678K1Z9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DHA-INV-2023-089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07, 2023</w:t>
            </w:r>
          </w:p>
        </w:tc>
      </w:tr>
      <w:tr>
        <w:tc>
          <w:tcPr/>
          <w:p>
            <w:pPr>
              <w:pStyle w:val="Compact"/>
              <w:jc w:val="left"/>
            </w:pPr>
            <w:r>
              <w:t xml:space="preserve">Project Reference:</w:t>
            </w:r>
          </w:p>
        </w:tc>
        <w:tc>
          <w:tcPr/>
          <w:p>
            <w:pPr>
              <w:pStyle w:val="Compact"/>
              <w:jc w:val="left"/>
            </w:pPr>
            <w:r>
              <w:t xml:space="preserve">Residential Villa - Lajpat Nagar</w:t>
            </w:r>
          </w:p>
        </w:tc>
      </w:tr>
    </w:tbl>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Architectural Services</w:t>
            </w:r>
          </w:p>
        </w:tc>
        <w:tc>
          <w:tcPr/>
          <w:p>
            <w:pPr>
              <w:pStyle w:val="Compact"/>
              <w:jc w:val="left"/>
            </w:pPr>
            <w:r>
              <w:t xml:space="preserve">Rate (INR)</w:t>
            </w:r>
          </w:p>
        </w:tc>
        <w:tc>
          <w:tcPr/>
          <w:p>
            <w:pPr>
              <w:pStyle w:val="Compact"/>
              <w:jc w:val="left"/>
            </w:pPr>
            <w:r>
              <w:t xml:space="preserve">Quantity</w:t>
            </w:r>
          </w:p>
        </w:tc>
        <w:tc>
          <w:tcPr/>
          <w:p>
            <w:pPr>
              <w:pStyle w:val="Compact"/>
              <w:jc w:val="left"/>
            </w:pPr>
            <w:r>
              <w:t xml:space="preserve">Taxable Amount (INR)</w:t>
            </w:r>
          </w:p>
        </w:tc>
        <w:tc>
          <w:tcPr/>
          <w:p>
            <w:pPr>
              <w:pStyle w:val="Compact"/>
              <w:jc w:val="left"/>
            </w:pPr>
            <w:r>
              <w:t xml:space="preserve">GST @ 18% (INR)</w:t>
            </w:r>
          </w:p>
        </w:tc>
      </w:tr>
      <w:tr>
        <w:tc>
          <w:tcPr/>
          <w:p>
            <w:pPr>
              <w:pStyle w:val="Compact"/>
              <w:jc w:val="left"/>
            </w:pPr>
            <w:r>
              <w:t xml:space="preserve">1</w:t>
            </w:r>
          </w:p>
        </w:tc>
        <w:tc>
          <w:tcPr/>
          <w:p>
            <w:pPr>
              <w:pStyle w:val="Compact"/>
              <w:jc w:val="left"/>
            </w:pPr>
            <w:r>
              <w:rPr>
                <w:bCs/>
                <w:b/>
              </w:rPr>
              <w:t xml:space="preserve">Conceptual Design &amp; Site Analysis</w:t>
            </w:r>
            <w:r>
              <w:br/>
            </w:r>
            <w:r>
              <w:t xml:space="preserve">Comprehensive site survey conducted in New Delhi, including soil report analysis, orientation study, and initial conceptual sketches for the residential villa. This phase includes three rounds of client consultation meetings held at our Dwarka office.</w:t>
            </w:r>
          </w:p>
        </w:tc>
        <w:tc>
          <w:tcPr/>
          <w:p>
            <w:pPr>
              <w:pStyle w:val="Compact"/>
              <w:jc w:val="left"/>
            </w:pPr>
            <w:r>
              <w:t xml:space="preserve">1,50,000.00</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27,000.00</w:t>
            </w:r>
          </w:p>
        </w:tc>
      </w:tr>
      <w:tr>
        <w:tc>
          <w:tcPr/>
          <w:p>
            <w:pPr>
              <w:pStyle w:val="Compact"/>
              <w:jc w:val="left"/>
            </w:pPr>
            <w:r>
              <w:t xml:space="preserve">2</w:t>
            </w:r>
          </w:p>
        </w:tc>
        <w:tc>
          <w:tcPr/>
          <w:p>
            <w:pPr>
              <w:pStyle w:val="Compact"/>
              <w:jc w:val="left"/>
            </w:pPr>
            <w:r>
              <w:rPr>
                <w:bCs/>
                <w:b/>
              </w:rPr>
              <w:t xml:space="preserve">Detailed Architectural Drawings</w:t>
            </w:r>
            <w:r>
              <w:br/>
            </w:r>
            <w:r>
              <w:t xml:space="preserve">Preparation of full-scale floor plans, elevations, sections, and 3D perspective views compliant with Delhi Development Authority (DDA) norms. Includes interior layout planning for ground and first floors.</w:t>
            </w:r>
          </w:p>
        </w:tc>
        <w:tc>
          <w:tcPr/>
          <w:p>
            <w:pPr>
              <w:pStyle w:val="Compact"/>
              <w:jc w:val="left"/>
            </w:pPr>
            <w:r>
              <w:t xml:space="preserve">2,25,000.00</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40,500.00</w:t>
            </w:r>
          </w:p>
        </w:tc>
      </w:tr>
      <w:tr>
        <w:tc>
          <w:tcPr/>
          <w:p>
            <w:pPr>
              <w:pStyle w:val="Compact"/>
              <w:jc w:val="left"/>
            </w:pPr>
            <w:r>
              <w:t xml:space="preserve">3</w:t>
            </w:r>
          </w:p>
        </w:tc>
        <w:tc>
          <w:tcPr/>
          <w:p>
            <w:pPr>
              <w:pStyle w:val="Compact"/>
              <w:jc w:val="left"/>
            </w:pPr>
            <w:r>
              <w:rPr>
                <w:bCs/>
                <w:b/>
              </w:rPr>
              <w:t xml:space="preserve">Structural &amp; MEP Coordination</w:t>
            </w:r>
            <w:r>
              <w:br/>
            </w:r>
            <w:r>
              <w:t xml:space="preserve">Collaborative design coordination with structural engineers and mechanical/electrical consultants to ensure integrated building systems. Includes review of load-bearing walls and utility routing plans.</w:t>
            </w:r>
          </w:p>
        </w:tc>
        <w:tc>
          <w:tcPr/>
          <w:p>
            <w:pPr>
              <w:pStyle w:val="Compact"/>
              <w:jc w:val="left"/>
            </w:pPr>
            <w:r>
              <w:t xml:space="preserve">75,000.00</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13,500.00</w:t>
            </w:r>
          </w:p>
        </w:tc>
      </w:tr>
      <w:tr>
        <w:tc>
          <w:tcPr/>
          <w:p>
            <w:pPr>
              <w:pStyle w:val="Compact"/>
              <w:jc w:val="left"/>
            </w:pPr>
            <w:r>
              <w:t xml:space="preserve">4</w:t>
            </w:r>
          </w:p>
        </w:tc>
        <w:tc>
          <w:tcPr/>
          <w:p>
            <w:pPr>
              <w:pStyle w:val="Compact"/>
              <w:jc w:val="left"/>
            </w:pPr>
            <w:r>
              <w:rPr>
                <w:bCs/>
                <w:b/>
              </w:rPr>
              <w:t xml:space="preserve">DDA Approval Documentation</w:t>
            </w:r>
            <w:r>
              <w:br/>
            </w:r>
            <w:r>
              <w:t xml:space="preserve">Preparation and submission of all necessary architectural documents for building plan approval from the Delhi Development Authority. Includes site plans, fire safety compliance drawings, and parking layout as per local regulations.</w:t>
            </w:r>
          </w:p>
        </w:tc>
        <w:tc>
          <w:tcPr/>
          <w:p>
            <w:pPr>
              <w:pStyle w:val="Compact"/>
              <w:jc w:val="left"/>
            </w:pPr>
            <w:r>
              <w:t xml:space="preserve">1,00,000.00</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Construction Supervision (Phase 1)</w:t>
            </w:r>
            <w:r>
              <w:br/>
            </w:r>
            <w:r>
              <w:t xml:space="preserve">On-site architectural supervision during foundation and structural work. Includes weekly site visits, quality control checks, and progress reports submitted to the client.</w:t>
            </w:r>
          </w:p>
        </w:tc>
        <w:tc>
          <w:tcPr/>
          <w:p>
            <w:pPr>
              <w:pStyle w:val="Compact"/>
              <w:jc w:val="left"/>
            </w:pPr>
            <w:r>
              <w:t xml:space="preserve">1,25,000.00</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Amount):</w:t>
            </w:r>
          </w:p>
        </w:tc>
        <w:tc>
          <w:tcPr/>
          <w:p>
            <w:pPr>
              <w:pStyle w:val="Compact"/>
              <w:jc w:val="left"/>
            </w:pPr>
            <w:r>
              <w:t xml:space="preserve">₹ 6,75,000.00</w:t>
            </w:r>
          </w:p>
        </w:tc>
      </w:tr>
      <w:tr>
        <w:tc>
          <w:tcPr/>
          <w:p>
            <w:pPr>
              <w:pStyle w:val="Compact"/>
              <w:jc w:val="left"/>
            </w:pPr>
            <w:r>
              <w:t xml:space="preserve">GST @ 18% (CGST 9% + SGST 9%):</w:t>
            </w:r>
          </w:p>
        </w:tc>
        <w:tc>
          <w:tcPr/>
          <w:p>
            <w:pPr>
              <w:pStyle w:val="Compact"/>
              <w:jc w:val="left"/>
            </w:pPr>
            <w:r>
              <w:t xml:space="preserve">₹ 1,21,500.00</w:t>
            </w:r>
          </w:p>
        </w:tc>
      </w:tr>
      <w:tr>
        <w:tc>
          <w:tcPr/>
          <w:p>
            <w:pPr>
              <w:pStyle w:val="Compact"/>
              <w:jc w:val="left"/>
            </w:pPr>
            <w:r>
              <w:t xml:space="preserve">Professional Tax (if applicable):</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7,96,500.00</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State Bank of India</w:t>
      </w:r>
    </w:p>
    <w:p>
      <w:pPr>
        <w:pStyle w:val="BodyText"/>
      </w:pPr>
      <w:r>
        <w:rPr>
          <w:bCs/>
          <w:b/>
        </w:rPr>
        <w:t xml:space="preserve">Branch:</w:t>
      </w:r>
      <w:r>
        <w:t xml:space="preserve"> </w:t>
      </w:r>
      <w:r>
        <w:t xml:space="preserve">Dwarka Sector 12, New Delhi</w:t>
      </w:r>
    </w:p>
    <w:p>
      <w:pPr>
        <w:pStyle w:val="BodyText"/>
      </w:pPr>
      <w:r>
        <w:rPr>
          <w:bCs/>
          <w:b/>
        </w:rPr>
        <w:t xml:space="preserve">Account Name:</w:t>
      </w:r>
      <w:r>
        <w:t xml:space="preserve"> </w:t>
      </w:r>
      <w:r>
        <w:t xml:space="preserve">Delhi Heritage Architects Pvt. Ltd.</w:t>
      </w:r>
    </w:p>
    <w:p>
      <w:pPr>
        <w:pStyle w:val="BodyText"/>
      </w:pPr>
      <w:r>
        <w:rPr>
          <w:bCs/>
          <w:b/>
        </w:rPr>
        <w:t xml:space="preserve">Account Number:</w:t>
      </w:r>
      <w:r>
        <w:t xml:space="preserve"> </w:t>
      </w:r>
      <w:r>
        <w:t xml:space="preserve">30587612345678</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delhiheritage@sbim</w:t>
      </w:r>
    </w:p>
    <w:p>
      <w:pPr>
        <w:pStyle w:val="BodyText"/>
      </w:pPr>
      <w:r>
        <w:t xml:space="preserve">Please mention Invoice Number DHA-INV-2023-089 in the payment remarks.</w:t>
      </w:r>
    </w:p>
    <w:bookmarkEnd w:id="24"/>
    <w:bookmarkStart w:id="25" w:name="terms-and-conditions"/>
    <w:p>
      <w:pPr>
        <w:pStyle w:val="Heading4"/>
      </w:pPr>
      <w:r>
        <w:t xml:space="preserve">Terms and Conditions:</w:t>
      </w:r>
    </w:p>
    <w:p>
      <w:pPr>
        <w:pStyle w:val="FirstParagraph"/>
      </w:pPr>
      <w:r>
        <w:t xml:space="preserve">1. Payment is due within 14 days from the date of this invoice. Late payments may incur a penalty of 1.5% per month.</w:t>
      </w:r>
    </w:p>
    <w:p>
      <w:pPr>
        <w:pStyle w:val="BodyText"/>
      </w:pPr>
      <w:r>
        <w:t xml:space="preserve">2. All architectural designs and drawings remain the intellectual property of Delhi Heritage Architects until full payment is received.</w:t>
      </w:r>
    </w:p>
    <w:p>
      <w:pPr>
        <w:pStyle w:val="BodyText"/>
      </w:pPr>
      <w:r>
        <w:t xml:space="preserve">3. This invoice is issued in accordance with the Goods and Services Tax (GST) Act, 2017, applicable in India.</w:t>
      </w:r>
    </w:p>
    <w:p>
      <w:pPr>
        <w:pStyle w:val="BodyText"/>
      </w:pPr>
      <w:r>
        <w:t xml:space="preserve">4. Any changes to the project scope after approval will be billed separately as variation orders.</w:t>
      </w:r>
    </w:p>
    <w:p>
      <w:pPr>
        <w:pStyle w:val="BodyText"/>
      </w:pPr>
      <w:r>
        <w:t xml:space="preserve">5. For queries regarding this invoice, please contact our accounts department at accounts@delhiheritage.in or call +91-11-4567-8900.</w:t>
      </w:r>
    </w:p>
    <w:p>
      <w:pPr>
        <w:pStyle w:val="BodyText"/>
      </w:pPr>
      <w:r>
        <w:t xml:space="preserve">6. This document serves as a valid tax invoice for input tax credit claims under GST regulations in New Delhi, India.</w:t>
      </w:r>
    </w:p>
    <w:bookmarkEnd w:id="25"/>
    <w:p>
      <w:pPr>
        <w:pStyle w:val="BodyText"/>
      </w:pPr>
      <w:r>
        <w:t xml:space="preserve">Authorized Signatory</w:t>
      </w:r>
    </w:p>
    <w:p>
      <w:pPr>
        <w:pStyle w:val="BodyText"/>
      </w:pPr>
      <w:r>
        <w:rPr>
          <w:bCs/>
          <w:b/>
        </w:rPr>
        <w:t xml:space="preserve">Arch. Vikram Singh</w:t>
      </w:r>
    </w:p>
    <w:p>
      <w:pPr>
        <w:pStyle w:val="BodyText"/>
      </w:pPr>
      <w:r>
        <w:t xml:space="preserve">Principal Architect</w:t>
      </w:r>
    </w:p>
    <w:p>
      <w:pPr>
        <w:pStyle w:val="BodyText"/>
      </w:pPr>
      <w:r>
        <w:t xml:space="preserve">Delhi Heritage Architects</w:t>
      </w:r>
    </w:p>
    <w:p>
      <w:pPr>
        <w:pStyle w:val="BodyText"/>
      </w:pPr>
      <w:r>
        <w:t xml:space="preserve">Client Acknowledgement</w:t>
      </w:r>
    </w:p>
    <w:p>
      <w:pPr>
        <w:pStyle w:val="BodyText"/>
      </w:pPr>
      <w:r>
        <w:t xml:space="preserve">Received and Accepted</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New Delhi, India</dc:title>
  <dc:creator/>
  <dc:language>en</dc:language>
  <cp:keywords/>
  <dcterms:created xsi:type="dcterms:W3CDTF">2026-10-10T04:06:24Z</dcterms:created>
  <dcterms:modified xsi:type="dcterms:W3CDTF">2026-10-10T04:06:24Z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