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Jakarta,</w:t>
      </w:r>
      <w:r>
        <w:t xml:space="preserve"> </w:t>
      </w:r>
      <w:r>
        <w:t xml:space="preserve">Indonesia</w:t>
      </w:r>
    </w:p>
    <w:bookmarkStart w:id="20" w:name="pt.-nusantara-architectural-studio"/>
    <w:p>
      <w:pPr>
        <w:pStyle w:val="Heading1"/>
      </w:pPr>
      <w:r>
        <w:t xml:space="preserve">PT. Nusantara Architectural Studio</w:t>
      </w:r>
    </w:p>
    <w:p>
      <w:pPr>
        <w:pStyle w:val="FirstParagraph"/>
      </w:pPr>
      <w:r>
        <w:rPr>
          <w:bCs/>
          <w:b/>
        </w:rPr>
        <w:t xml:space="preserve">Professional Architectural Services</w:t>
      </w:r>
    </w:p>
    <w:p>
      <w:pPr>
        <w:pStyle w:val="BodyText"/>
      </w:pPr>
      <w:r>
        <w:t xml:space="preserve">Jl. Sudirman Kav. 52-53, SCBD Lot 10, Level 15</w:t>
      </w:r>
    </w:p>
    <w:p>
      <w:pPr>
        <w:pStyle w:val="BodyText"/>
      </w:pPr>
      <w:r>
        <w:t xml:space="preserve">Jakarta Selatan, DKI Jakarta 12190</w:t>
      </w:r>
    </w:p>
    <w:p>
      <w:pPr>
        <w:pStyle w:val="BodyText"/>
      </w:pPr>
      <w:r>
        <w:t xml:space="preserve">Indonesia</w:t>
      </w:r>
    </w:p>
    <w:p>
      <w:pPr>
        <w:pStyle w:val="BodyText"/>
      </w:pPr>
      <w:r>
        <w:t xml:space="preserve">Telp: +62 21 5790 1234 | Email: billing@nusantara-arch.id</w:t>
      </w:r>
    </w:p>
    <w:p>
      <w:pPr>
        <w:pStyle w:val="BodyText"/>
      </w:pPr>
      <w:r>
        <w:t xml:space="preserve">NPWP: 01.234.567.8-901.000</w:t>
      </w:r>
    </w:p>
    <w:p>
      <w:pPr>
        <w:pStyle w:val="BodyText"/>
      </w:pPr>
      <w:r>
        <w:t xml:space="preserve">Izin Praktik Arsitek: IPA-2023-JKT-0045</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No:</w:t>
            </w:r>
          </w:p>
        </w:tc>
        <w:tc>
          <w:tcPr/>
          <w:p>
            <w:pPr>
              <w:pStyle w:val="Compact"/>
              <w:jc w:val="left"/>
            </w:pPr>
            <w:r>
              <w:t xml:space="preserve">INV-JKT-2024-0892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w:t>
            </w:r>
          </w:p>
        </w:tc>
        <w:tc>
          <w:tcPr/>
          <w:p>
            <w:pPr>
              <w:pStyle w:val="Compact"/>
              <w:jc w:val="left"/>
            </w:pPr>
            <w:r>
              <w:t xml:space="preserve">PRJ-GRAND-JAKARTA-2024</w:t>
            </w:r>
          </w:p>
        </w:tc>
      </w:tr>
    </w:tbl>
    <w:bookmarkEnd w:id="21"/>
    <w:bookmarkStart w:id="22" w:name="bill-to"/>
    <w:p>
      <w:pPr>
        <w:pStyle w:val="Heading3"/>
      </w:pPr>
      <w:r>
        <w:t xml:space="preserve">Bill To:</w:t>
      </w:r>
    </w:p>
    <w:p>
      <w:pPr>
        <w:pStyle w:val="FirstParagraph"/>
      </w:pPr>
      <w:r>
        <w:rPr>
          <w:bCs/>
          <w:b/>
        </w:rPr>
        <w:t xml:space="preserve">PT. Maju Bersama Properti Indonesia</w:t>
      </w:r>
    </w:p>
    <w:p>
      <w:pPr>
        <w:pStyle w:val="BodyText"/>
      </w:pPr>
      <w:r>
        <w:t xml:space="preserve">Attn: Mr. Budi Santoso, Director of Development</w:t>
      </w:r>
    </w:p>
    <w:p>
      <w:pPr>
        <w:pStyle w:val="BodyText"/>
      </w:pPr>
      <w:r>
        <w:t xml:space="preserve">Jl. Gatot Subroto Kav. 71, Jakarta Selatan</w:t>
      </w:r>
    </w:p>
    <w:p>
      <w:pPr>
        <w:pStyle w:val="BodyText"/>
      </w:pPr>
      <w:r>
        <w:t xml:space="preserve">DKI Jakarta 12950, Indonesia</w:t>
      </w:r>
    </w:p>
    <w:p>
      <w:pPr>
        <w:pStyle w:val="BodyText"/>
      </w:pPr>
      <w:r>
        <w:t xml:space="preserve">Telp: +62 21 7200 5566</w:t>
      </w:r>
    </w:p>
    <w:p>
      <w:pPr>
        <w:pStyle w:val="BodyText"/>
      </w:pPr>
      <w:r>
        <w:t xml:space="preserve">Email: finance@majuberama-properti.co.id</w:t>
      </w:r>
    </w:p>
    <w:p>
      <w:pPr>
        <w:pStyle w:val="BodyText"/>
      </w:pPr>
      <w:r>
        <w:t xml:space="preserve">NPWP: 98.765.432.1-012.000</w:t>
      </w:r>
    </w:p>
    <w:bookmarkEnd w:id="22"/>
    <w:bookmarkStart w:id="23" w:name="project-site"/>
    <w:p>
      <w:pPr>
        <w:pStyle w:val="Heading3"/>
      </w:pPr>
      <w:r>
        <w:t xml:space="preserve">Project Site:</w:t>
      </w:r>
    </w:p>
    <w:p>
      <w:pPr>
        <w:pStyle w:val="FirstParagraph"/>
      </w:pPr>
      <w:r>
        <w:rPr>
          <w:bCs/>
          <w:b/>
        </w:rPr>
        <w:t xml:space="preserve">The Grand Jakarta Mixed-Use Development</w:t>
      </w:r>
    </w:p>
    <w:p>
      <w:pPr>
        <w:pStyle w:val="BodyText"/>
      </w:pPr>
      <w:r>
        <w:t xml:space="preserve">Jl. Rasuna Said, Kuningan, Jakarta Selatan</w:t>
      </w:r>
    </w:p>
    <w:p>
      <w:pPr>
        <w:pStyle w:val="BodyText"/>
      </w:pPr>
      <w:r>
        <w:t xml:space="preserve">DKI Jakarta 12940, Indonesia</w:t>
      </w:r>
    </w:p>
    <w:p>
      <w:pPr>
        <w:pStyle w:val="BodyText"/>
      </w:pPr>
      <w:r>
        <w:t xml:space="preserve">Land Area: 5,200 sqm</w:t>
      </w:r>
    </w:p>
    <w:p>
      <w:pPr>
        <w:pStyle w:val="BodyText"/>
      </w:pPr>
      <w:r>
        <w:t xml:space="preserve">Building Type: Commercial &amp; Residential Tower</w:t>
      </w:r>
    </w:p>
    <w:p>
      <w:pPr>
        <w:pStyle w:val="BodyText"/>
      </w:pPr>
      <w:r>
        <w:t xml:space="preserve">Phase: Design Development &amp; Construction Documentation</w:t>
      </w:r>
    </w:p>
    <w:bookmarkEnd w:id="23"/>
    <w:p>
      <w:pPr>
        <w:pStyle w:val="BodyText"/>
      </w:pPr>
      <w:r>
        <w:rPr>
          <w:bCs/>
          <w:b/>
        </w:rPr>
        <w:t xml:space="preserve">Project Overview:</w:t>
      </w:r>
      <w:r>
        <w:t xml:space="preserve"> </w:t>
      </w:r>
      <w:r>
        <w:t xml:space="preserve">This invoice covers professional architectural services provided by PT. Nusantara Architectural Studio for the design development and construction documentation phase of The Grand Jakarta Mixed-Use Development project located in South Jakarta, Indonesia. Services include schematic design refinement, 3D visualization, structural coordination, MEP integration, and preparation of detailed construction drawings compliant with Indonesian National Standards (SNI) and local Jakarta building regulations (Peraturan Daerah DKI Jakarta).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Architectural Services</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Design Development Phase - Architectural Concept Refinement for 40-story mixed-use tower including facade design, floor plan optimization, and spatial programming in accordance with Jakarta zoning regulations.</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2</w:t>
            </w:r>
          </w:p>
        </w:tc>
        <w:tc>
          <w:tcPr/>
          <w:p>
            <w:pPr>
              <w:pStyle w:val="Compact"/>
              <w:jc w:val="left"/>
            </w:pPr>
            <w:r>
              <w:t xml:space="preserve">3D Architectural Visualization - Photorealistic exterior and interior renderings for marketing and approval purposes, including aerial views of the Jakarta skyline context.</w:t>
            </w:r>
          </w:p>
        </w:tc>
        <w:tc>
          <w:tcPr/>
          <w:p>
            <w:pPr>
              <w:pStyle w:val="Compact"/>
              <w:jc w:val="left"/>
            </w:pPr>
            <w:r>
              <w:t xml:space="preserve">12</w:t>
            </w:r>
          </w:p>
        </w:tc>
        <w:tc>
          <w:tcPr/>
          <w:p>
            <w:pPr>
              <w:pStyle w:val="Compact"/>
              <w:jc w:val="left"/>
            </w:pPr>
            <w:r>
              <w:t xml:space="preserve">7,500,000</w:t>
            </w:r>
          </w:p>
        </w:tc>
        <w:tc>
          <w:tcPr/>
          <w:p>
            <w:pPr>
              <w:pStyle w:val="Compact"/>
              <w:jc w:val="left"/>
            </w:pPr>
            <w:r>
              <w:t xml:space="preserve">90,000,000</w:t>
            </w:r>
          </w:p>
        </w:tc>
      </w:tr>
      <w:tr>
        <w:tc>
          <w:tcPr/>
          <w:p>
            <w:pPr>
              <w:pStyle w:val="Compact"/>
              <w:jc w:val="left"/>
            </w:pPr>
            <w:r>
              <w:t xml:space="preserve">3</w:t>
            </w:r>
          </w:p>
        </w:tc>
        <w:tc>
          <w:tcPr/>
          <w:p>
            <w:pPr>
              <w:pStyle w:val="Compact"/>
              <w:jc w:val="left"/>
            </w:pPr>
            <w:r>
              <w:t xml:space="preserve">Construction Documentation - Detailed architectural drawings including floor plans, elevations, sections, wall sections, door/window schedules, and finish schedules compliant with SNI standards.</w:t>
            </w:r>
          </w:p>
        </w:tc>
        <w:tc>
          <w:tcPr/>
          <w:p>
            <w:pPr>
              <w:pStyle w:val="Compact"/>
              <w:jc w:val="left"/>
            </w:pPr>
            <w:r>
              <w:t xml:space="preserve">1</w:t>
            </w:r>
          </w:p>
        </w:tc>
        <w:tc>
          <w:tcPr/>
          <w:p>
            <w:pPr>
              <w:pStyle w:val="Compact"/>
              <w:jc w:val="left"/>
            </w:pPr>
            <w:r>
              <w:t xml:space="preserve">150,000,000</w:t>
            </w:r>
          </w:p>
        </w:tc>
        <w:tc>
          <w:tcPr/>
          <w:p>
            <w:pPr>
              <w:pStyle w:val="Compact"/>
              <w:jc w:val="left"/>
            </w:pPr>
            <w:r>
              <w:t xml:space="preserve">150,000,000</w:t>
            </w:r>
          </w:p>
        </w:tc>
      </w:tr>
      <w:tr>
        <w:tc>
          <w:tcPr/>
          <w:p>
            <w:pPr>
              <w:pStyle w:val="Compact"/>
              <w:jc w:val="left"/>
            </w:pPr>
            <w:r>
              <w:t xml:space="preserve">4</w:t>
            </w:r>
          </w:p>
        </w:tc>
        <w:tc>
          <w:tcPr/>
          <w:p>
            <w:pPr>
              <w:pStyle w:val="Compact"/>
              <w:jc w:val="left"/>
            </w:pPr>
            <w:r>
              <w:t xml:space="preserve">Coordination with Structural and MEP Engineers - Integrated design coordination meetings and drawing reviews to ensure constructability and compliance with Indonesian building codes.</w:t>
            </w:r>
          </w:p>
        </w:tc>
        <w:tc>
          <w:tcPr/>
          <w:p>
            <w:pPr>
              <w:pStyle w:val="Compact"/>
              <w:jc w:val="left"/>
            </w:pPr>
            <w:r>
              <w:t xml:space="preserve">8</w:t>
            </w:r>
          </w:p>
        </w:tc>
        <w:tc>
          <w:tcPr/>
          <w:p>
            <w:pPr>
              <w:pStyle w:val="Compact"/>
              <w:jc w:val="left"/>
            </w:pPr>
            <w:r>
              <w:t xml:space="preserve">5,000,000</w:t>
            </w:r>
          </w:p>
        </w:tc>
        <w:tc>
          <w:tcPr/>
          <w:p>
            <w:pPr>
              <w:pStyle w:val="Compact"/>
              <w:jc w:val="left"/>
            </w:pPr>
            <w:r>
              <w:t xml:space="preserve">40,000,000</w:t>
            </w:r>
          </w:p>
        </w:tc>
      </w:tr>
      <w:tr>
        <w:tc>
          <w:tcPr/>
          <w:p>
            <w:pPr>
              <w:pStyle w:val="Compact"/>
              <w:jc w:val="left"/>
            </w:pPr>
            <w:r>
              <w:t xml:space="preserve">5</w:t>
            </w:r>
          </w:p>
        </w:tc>
        <w:tc>
          <w:tcPr/>
          <w:p>
            <w:pPr>
              <w:pStyle w:val="Compact"/>
              <w:jc w:val="left"/>
            </w:pPr>
            <w:r>
              <w:t xml:space="preserve">Permit Submission Support - Preparation of architectural documents for IMB/PBG (Building Permit) submission to Dinas Cipta Karya dan Tata Ruang DKI Jakarta.</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Sustainability Consulting - Green building design strategies aligned with GREENSHIP certification requirements and Jakarta's urban environmental guidelines.</w:t>
            </w:r>
          </w:p>
        </w:tc>
        <w:tc>
          <w:tcPr/>
          <w:p>
            <w:pPr>
              <w:pStyle w:val="Compact"/>
              <w:jc w:val="left"/>
            </w:pPr>
            <w:r>
              <w:t xml:space="preserve">1</w:t>
            </w:r>
          </w:p>
        </w:tc>
        <w:tc>
          <w:tcPr/>
          <w:p>
            <w:pPr>
              <w:pStyle w:val="Compact"/>
              <w:jc w:val="left"/>
            </w:pPr>
            <w:r>
              <w:t xml:space="preserve">30,000,000</w:t>
            </w:r>
          </w:p>
        </w:tc>
        <w:tc>
          <w:tcPr/>
          <w:p>
            <w:pPr>
              <w:pStyle w:val="Compact"/>
              <w:jc w:val="left"/>
            </w:pPr>
            <w:r>
              <w:t xml:space="preserve">30,000,000</w:t>
            </w:r>
          </w:p>
        </w:tc>
      </w:tr>
      <w:tr>
        <w:tc>
          <w:tcPr/>
          <w:p>
            <w:pPr>
              <w:pStyle w:val="Compact"/>
              <w:jc w:val="left"/>
            </w:pPr>
            <w:r>
              <w:t xml:space="preserve">7</w:t>
            </w:r>
          </w:p>
        </w:tc>
        <w:tc>
          <w:tcPr/>
          <w:p>
            <w:pPr>
              <w:pStyle w:val="Compact"/>
              <w:jc w:val="left"/>
            </w:pPr>
            <w:r>
              <w:t xml:space="preserve">Site Visits and Progress Monitoring - On-site architectural supervision visits during early construction phase in Jakarta to ensure design intent compliance.</w:t>
            </w:r>
          </w:p>
        </w:tc>
        <w:tc>
          <w:tcPr/>
          <w:p>
            <w:pPr>
              <w:pStyle w:val="Compact"/>
              <w:jc w:val="left"/>
            </w:pPr>
            <w:r>
              <w:t xml:space="preserve">6</w:t>
            </w:r>
          </w:p>
        </w:tc>
        <w:tc>
          <w:tcPr/>
          <w:p>
            <w:pPr>
              <w:pStyle w:val="Compact"/>
              <w:jc w:val="left"/>
            </w:pPr>
            <w:r>
              <w:t xml:space="preserve">3,500,000</w:t>
            </w:r>
          </w:p>
        </w:tc>
        <w:tc>
          <w:tcPr/>
          <w:p>
            <w:pPr>
              <w:pStyle w:val="Compact"/>
              <w:jc w:val="left"/>
            </w:pPr>
            <w:r>
              <w:t xml:space="preserve">21,000,000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441,000,000</w:t>
            </w:r>
          </w:p>
        </w:tc>
      </w:tr>
      <w:tr>
        <w:tc>
          <w:tcPr/>
          <w:p>
            <w:pPr>
              <w:pStyle w:val="Compact"/>
              <w:jc w:val="left"/>
            </w:pPr>
            <w:r>
              <w:t xml:space="preserve">PPN (VAT) 11%:</w:t>
            </w:r>
          </w:p>
        </w:tc>
        <w:tc>
          <w:tcPr/>
          <w:p>
            <w:pPr>
              <w:pStyle w:val="Compact"/>
              <w:jc w:val="left"/>
            </w:pPr>
            <w:r>
              <w:t xml:space="preserve">IDR 48,510,000</w:t>
            </w:r>
          </w:p>
        </w:tc>
      </w:tr>
      <w:tr>
        <w:tc>
          <w:tcPr/>
          <w:p>
            <w:pPr>
              <w:pStyle w:val="Compact"/>
              <w:jc w:val="left"/>
            </w:pPr>
            <w:r>
              <w:t xml:space="preserve">Grand Total:</w:t>
            </w:r>
          </w:p>
        </w:tc>
        <w:tc>
          <w:tcPr/>
          <w:p>
            <w:pPr>
              <w:pStyle w:val="Compact"/>
              <w:jc w:val="left"/>
            </w:pPr>
            <w:r>
              <w:t xml:space="preserve">IDR 489,510,000</w:t>
            </w:r>
          </w:p>
        </w:tc>
      </w:tr>
    </w:tbl>
    <w:p>
      <w:pPr>
        <w:pStyle w:val="BodyText"/>
      </w:pPr>
      <w:r>
        <w:rPr>
          <w:bCs/>
          <w:b/>
        </w:rPr>
        <w:t xml:space="preserve">Amount in Words:</w:t>
      </w:r>
      <w:r>
        <w:t xml:space="preserve"> </w:t>
      </w:r>
      <w:r>
        <w:t xml:space="preserve">Four Hundred Eighty-Nine Million Five Hundred Ten Thousand Indonesian Rupiah</w:t>
      </w:r>
    </w:p>
    <w:bookmarkStart w:id="24" w:name="payment-instructions"/>
    <w:p>
      <w:pPr>
        <w:pStyle w:val="Heading3"/>
      </w:pPr>
      <w:r>
        <w:t xml:space="preserve">Payment Instructions:</w:t>
      </w:r>
    </w:p>
    <w:p>
      <w:pPr>
        <w:pStyle w:val="FirstParagraph"/>
      </w:pPr>
      <w:r>
        <w:t xml:space="preserve">Please remit payment within 30 days from the invoice date to the following bank account:</w:t>
      </w:r>
    </w:p>
    <w:p>
      <w:pPr>
        <w:numPr>
          <w:ilvl w:val="0"/>
          <w:numId w:val="1001"/>
        </w:numPr>
        <w:pStyle w:val="Compact"/>
      </w:pPr>
      <w:r>
        <w:rPr>
          <w:bCs/>
          <w:b/>
        </w:rPr>
        <w:t xml:space="preserve">Bank:</w:t>
      </w:r>
      <w:r>
        <w:t xml:space="preserve"> </w:t>
      </w:r>
      <w:r>
        <w:t xml:space="preserve">Bank Central Asia (BCA)</w:t>
      </w:r>
    </w:p>
    <w:p>
      <w:pPr>
        <w:numPr>
          <w:ilvl w:val="0"/>
          <w:numId w:val="1001"/>
        </w:numPr>
        <w:pStyle w:val="Compact"/>
      </w:pPr>
      <w:r>
        <w:rPr>
          <w:bCs/>
          <w:b/>
        </w:rPr>
        <w:t xml:space="preserve">Account Name:</w:t>
      </w:r>
      <w:r>
        <w:t xml:space="preserve"> </w:t>
      </w:r>
      <w:r>
        <w:t xml:space="preserve">PT. Nusantara Architectural Studio</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Branch:</w:t>
      </w:r>
      <w:r>
        <w:t xml:space="preserve"> </w:t>
      </w:r>
      <w:r>
        <w:t xml:space="preserve">BCA Sudirman, Jakarta</w:t>
      </w:r>
    </w:p>
    <w:p>
      <w:pPr>
        <w:numPr>
          <w:ilvl w:val="0"/>
          <w:numId w:val="1001"/>
        </w:numPr>
        <w:pStyle w:val="Compact"/>
      </w:pPr>
      <w:r>
        <w:rPr>
          <w:bCs/>
          <w:b/>
        </w:rPr>
        <w:t xml:space="preserve">SWIFT Code:</w:t>
      </w:r>
      <w:r>
        <w:t xml:space="preserve"> </w:t>
      </w:r>
      <w:r>
        <w:t xml:space="preserve">CENAIDJA</w:t>
      </w:r>
    </w:p>
    <w:p>
      <w:pPr>
        <w:pStyle w:val="FirstParagraph"/>
      </w:pPr>
      <w:r>
        <w:t xml:space="preserve">Please include the invoice number (INV-JKT-2024-0892) as the payment reference.</w:t>
      </w:r>
    </w:p>
    <w:bookmarkEnd w:id="24"/>
    <w:bookmarkStart w:id="25" w:name="terms-and-conditions"/>
    <w:p>
      <w:pPr>
        <w:pStyle w:val="Heading4"/>
      </w:pPr>
      <w:r>
        <w:t xml:space="preserve">Terms and Conditions:</w:t>
      </w:r>
    </w:p>
    <w:p>
      <w:pPr>
        <w:pStyle w:val="FirstParagraph"/>
      </w:pPr>
      <w:r>
        <w:t xml:space="preserve">1. Payment is due within 30 days from the invoice date. Late payments will incur a penalty of 2% per month on the outstanding balance.</w:t>
      </w:r>
    </w:p>
    <w:p>
      <w:pPr>
        <w:pStyle w:val="BodyText"/>
      </w:pPr>
      <w:r>
        <w:t xml:space="preserve">2. All architectural services are provided in accordance with the Professional Architect Code of Ethics in Indonesia and applicable regulations from the Indonesian Institute of Architects (IAI).</w:t>
      </w:r>
    </w:p>
    <w:p>
      <w:pPr>
        <w:pStyle w:val="BodyText"/>
      </w:pPr>
      <w:r>
        <w:t xml:space="preserve">3. This invoice is subject to Indonesian tax regulations. PPN (Value Added Tax) of 11% is applied as required by the Directorate General of Taxes, Republic of Indonesia.</w:t>
      </w:r>
    </w:p>
    <w:p>
      <w:pPr>
        <w:pStyle w:val="BodyText"/>
      </w:pPr>
      <w:r>
        <w:t xml:space="preserve">4. Any changes to the project scope must be agreed upon in writing and may result in additional charges.</w:t>
      </w:r>
    </w:p>
    <w:p>
      <w:pPr>
        <w:pStyle w:val="BodyText"/>
      </w:pPr>
      <w:r>
        <w:t xml:space="preserve">5. Intellectual property rights for all design documents remain with PT. Nusantara Architectural Studio until full payment is received.</w:t>
      </w:r>
    </w:p>
    <w:p>
      <w:pPr>
        <w:pStyle w:val="BodyText"/>
      </w:pPr>
      <w:r>
        <w:t xml:space="preserve">6. Disputes arising from this invoice shall be resolved through negotiation in Jakarta, Indonesia, in accordance with Indonesian law.</w:t>
      </w:r>
    </w:p>
    <w:p>
      <w:pPr>
        <w:pStyle w:val="BodyText"/>
      </w:pPr>
      <w:r>
        <w:t xml:space="preserve">7. This invoice is valid for 90 days from the date of issue.</w:t>
      </w:r>
    </w:p>
    <w:bookmarkEnd w:id="25"/>
    <w:p>
      <w:pPr>
        <w:pStyle w:val="BodyText"/>
      </w:pPr>
      <w:r>
        <w:rPr>
          <w:bCs/>
          <w:b/>
        </w:rPr>
        <w:t xml:space="preserve">Issued by:</w:t>
      </w:r>
    </w:p>
    <w:p>
      <w:pPr>
        <w:pStyle w:val="BodyText"/>
      </w:pPr>
      <w:r>
        <w:rPr>
          <w:bCs/>
          <w:b/>
        </w:rPr>
        <w:t xml:space="preserve">Andi Wijaya, ST., MT., AIA.</w:t>
      </w:r>
      <w:r>
        <w:br/>
      </w:r>
      <w:r>
        <w:t xml:space="preserve">Lead Architect</w:t>
      </w:r>
      <w:r>
        <w:br/>
      </w:r>
      <w:r>
        <w:t xml:space="preserve">PT. Nusantara Architectural Studio</w:t>
      </w:r>
    </w:p>
    <w:p>
      <w:pPr>
        <w:pStyle w:val="BodyText"/>
      </w:pPr>
      <w:r>
        <w:rPr>
          <w:bCs/>
          <w:b/>
        </w:rPr>
        <w:t xml:space="preserve">Received by:</w:t>
      </w:r>
    </w:p>
    <w:p>
      <w:pPr>
        <w:pStyle w:val="BodyText"/>
      </w:pPr>
      <w:r>
        <w:rPr>
          <w:bCs/>
          <w:b/>
        </w:rPr>
        <w:t xml:space="preserve">Authorized Signatory</w:t>
      </w:r>
      <w:r>
        <w:br/>
      </w:r>
      <w:r>
        <w:t xml:space="preserve">PT. Maju Bersama Properti Indonesia</w:t>
      </w:r>
      <w:r>
        <w:br/>
      </w:r>
      <w:r>
        <w:t xml:space="preserve">Date: _______________</w:t>
      </w:r>
    </w:p>
    <w:p>
      <w:pPr>
        <w:pStyle w:val="BodyText"/>
      </w:pPr>
      <w:r>
        <w:t xml:space="preserve">PT. Nusantara Architectural Studio | Jl. Sudirman Kav. 52-53, Jakarta Selatan, DKI Jakarta 12190, Indonesia</w:t>
      </w:r>
    </w:p>
    <w:p>
      <w:pPr>
        <w:pStyle w:val="BodyText"/>
      </w:pPr>
      <w:r>
        <w:t xml:space="preserve">Telp: +62 21 5790 1234 | Email: billing@nusantara-arch.id | Website: www.nusantara-arch.id</w:t>
      </w:r>
    </w:p>
    <w:p>
      <w:pPr>
        <w:pStyle w:val="BodyText"/>
      </w:pPr>
      <w:r>
        <w:t xml:space="preserve">Thank you for your business. We appreciate your trust in our architectural expertise for your Jakarta project.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 - Jakarta, Indonesia</dc:title>
  <dc:creator/>
  <dc:language>en</dc:language>
  <cp:keywords/>
  <dcterms:created xsi:type="dcterms:W3CDTF">2026-10-10T02:34:41Z</dcterms:created>
  <dcterms:modified xsi:type="dcterms:W3CDTF">2026-10-10T02:34:41Z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