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tehran-vista-architects"/>
    <w:p>
      <w:pPr>
        <w:pStyle w:val="Heading1"/>
      </w:pPr>
      <w:r>
        <w:t xml:space="preserve">TEHRAN VISTA ARCHITECTS</w:t>
      </w:r>
    </w:p>
    <w:p>
      <w:pPr>
        <w:pStyle w:val="FirstParagraph"/>
      </w:pPr>
      <w:r>
        <w:rPr>
          <w:bCs/>
          <w:b/>
        </w:rPr>
        <w:t xml:space="preserve">License No:</w:t>
      </w:r>
      <w:r>
        <w:t xml:space="preserve"> </w:t>
      </w:r>
      <w:r>
        <w:t xml:space="preserve">89452-IR-ARCH</w:t>
      </w:r>
    </w:p>
    <w:p>
      <w:pPr>
        <w:pStyle w:val="BodyText"/>
      </w:pPr>
      <w:r>
        <w:rPr>
          <w:bCs/>
          <w:b/>
        </w:rPr>
        <w:t xml:space="preserve">Address:</w:t>
      </w:r>
      <w:r>
        <w:t xml:space="preserve"> </w:t>
      </w:r>
      <w:r>
        <w:t xml:space="preserve">No. 42, Valiasr Street, Elahieh District, Tehran, Iran</w:t>
      </w:r>
    </w:p>
    <w:p>
      <w:pPr>
        <w:pStyle w:val="BodyText"/>
      </w:pPr>
      <w:r>
        <w:rPr>
          <w:bCs/>
          <w:b/>
        </w:rPr>
        <w:t xml:space="preserve">Phone:</w:t>
      </w:r>
      <w:r>
        <w:t xml:space="preserve"> </w:t>
      </w:r>
      <w:r>
        <w:t xml:space="preserve">+98 21 2200 5500</w:t>
      </w:r>
    </w:p>
    <w:p>
      <w:pPr>
        <w:pStyle w:val="BodyText"/>
      </w:pPr>
      <w:r>
        <w:rPr>
          <w:bCs/>
          <w:b/>
        </w:rPr>
        <w:t xml:space="preserve">Email:</w:t>
      </w:r>
      <w:r>
        <w:t xml:space="preserve"> </w:t>
      </w:r>
      <w:r>
        <w:t xml:space="preserve">billing@tehranvista.ir</w:t>
      </w:r>
    </w:p>
    <w:p>
      <w:pPr>
        <w:pStyle w:val="BodyText"/>
      </w:pPr>
      <w:r>
        <w:rPr>
          <w:bCs/>
          <w:b/>
        </w:rPr>
        <w:t xml:space="preserve">Website:</w:t>
      </w:r>
      <w:r>
        <w:t xml:space="preserve"> </w:t>
      </w:r>
      <w:r>
        <w:t xml:space="preserve">www.tehranvista.ir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INV-2023-TEH-089</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 Reference:</w:t>
      </w:r>
      <w:r>
        <w:t xml:space="preserve"> </w:t>
      </w:r>
      <w:r>
        <w:t xml:space="preserve">Residential Villa - North Tehran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Ali Rezaei</w:t>
      </w:r>
    </w:p>
    <w:p>
      <w:pPr>
        <w:pStyle w:val="BodyText"/>
      </w:pPr>
      <w:r>
        <w:rPr>
          <w:bCs/>
          <w:b/>
        </w:rPr>
        <w:t xml:space="preserve">Company:</w:t>
      </w:r>
      <w:r>
        <w:t xml:space="preserve"> </w:t>
      </w:r>
      <w:r>
        <w:t xml:space="preserve">Rezaei Construction Group</w:t>
      </w:r>
    </w:p>
    <w:p>
      <w:pPr>
        <w:pStyle w:val="BodyText"/>
      </w:pPr>
      <w:r>
        <w:rPr>
          <w:bCs/>
          <w:b/>
        </w:rPr>
        <w:t xml:space="preserve">Address:</w:t>
      </w:r>
      <w:r>
        <w:t xml:space="preserve"> </w:t>
      </w:r>
      <w:r>
        <w:t xml:space="preserve">No. 15, Shariati Avenue, District 1, Tehran, Iran</w:t>
      </w:r>
    </w:p>
    <w:p>
      <w:pPr>
        <w:pStyle w:val="BodyText"/>
      </w:pPr>
      <w:r>
        <w:rPr>
          <w:bCs/>
          <w:b/>
        </w:rPr>
        <w:t xml:space="preserve">National ID:</w:t>
      </w:r>
      <w:r>
        <w:t xml:space="preserve"> </w:t>
      </w:r>
      <w:r>
        <w:t xml:space="preserve">0012345678</w:t>
      </w:r>
    </w:p>
    <w:p>
      <w:pPr>
        <w:pStyle w:val="BodyText"/>
      </w:pPr>
      <w:r>
        <w:rPr>
          <w:bCs/>
          <w:b/>
        </w:rPr>
        <w:t xml:space="preserve">Tax ID:</w:t>
      </w:r>
      <w:r>
        <w:t xml:space="preserve"> </w:t>
      </w:r>
      <w:r>
        <w:t xml:space="preserve">10023456789</w:t>
      </w:r>
    </w:p>
    <w:p>
      <w:pPr>
        <w:pStyle w:val="BodyText"/>
      </w:pPr>
      <w:r>
        <w:rPr>
          <w:bCs/>
          <w:b/>
        </w:rPr>
        <w:t xml:space="preserve">Phone:</w:t>
      </w:r>
      <w:r>
        <w:t xml:space="preserve"> </w:t>
      </w:r>
      <w:r>
        <w:t xml:space="preserve">+98 912 345 6789</w:t>
      </w:r>
    </w:p>
    <w:bookmarkEnd w:id="22"/>
    <w:p>
      <w:pPr>
        <w:pStyle w:val="BodyText"/>
      </w:pPr>
      <w:r>
        <w:t xml:space="preserve">This document serves as the official financial statement for architectural services rendered by</w:t>
      </w:r>
      <w:r>
        <w:t xml:space="preserve"> </w:t>
      </w:r>
      <w:r>
        <w:rPr>
          <w:bCs/>
          <w:b/>
        </w:rPr>
        <w:t xml:space="preserve">Tehran Vista Architects</w:t>
      </w:r>
      <w:r>
        <w:t xml:space="preserve"> </w:t>
      </w:r>
      <w:r>
        <w:t xml:space="preserve">to the client listed above. As a premier architectural firm based in the heart of</w:t>
      </w:r>
      <w:r>
        <w:t xml:space="preserve"> </w:t>
      </w:r>
      <w:r>
        <w:rPr>
          <w:bCs/>
          <w:b/>
        </w:rPr>
        <w:t xml:space="preserve">Iran Tehran</w:t>
      </w:r>
      <w:r>
        <w:t xml:space="preserve">, we are committed to delivering design excellence that respects both modern functionality and the rich cultural heritage of the region. This invoice covers the professional fees associated with the schematic design and design development phases of the residential project located in the northern districts of Tehran.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Site Analysis &amp; Feasibility Study:</w:t>
            </w:r>
            <w:r>
              <w:t xml:space="preserve"> </w:t>
            </w:r>
            <w:r>
              <w:t xml:space="preserve">Comprehensive analysis of the plot in Tehran, including soil reports, zoning regulations compliance check with Tehran Municipality, and solar orientation studies.</w:t>
            </w:r>
          </w:p>
        </w:tc>
        <w:tc>
          <w:tcPr/>
          <w:p>
            <w:pPr>
              <w:pStyle w:val="Compact"/>
              <w:jc w:val="left"/>
            </w:pPr>
            <w:r>
              <w:t xml:space="preserve">1 Lot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rPr>
                <w:bCs/>
                <w:b/>
              </w:rPr>
              <w:t xml:space="preserve">Schematic Design Phase:</w:t>
            </w:r>
            <w:r>
              <w:t xml:space="preserve"> </w:t>
            </w:r>
            <w:r>
              <w:t xml:space="preserve">Development of initial floor plans, 3D massing models, and conceptual renderings tailored to the client's requirements and the specific urban context of Tehran.</w:t>
            </w:r>
          </w:p>
        </w:tc>
        <w:tc>
          <w:tcPr/>
          <w:p>
            <w:pPr>
              <w:pStyle w:val="Compact"/>
              <w:jc w:val="left"/>
            </w:pPr>
            <w:r>
              <w:t xml:space="preserve">1 Phase</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3</w:t>
            </w:r>
          </w:p>
        </w:tc>
        <w:tc>
          <w:tcPr/>
          <w:p>
            <w:pPr>
              <w:pStyle w:val="Compact"/>
              <w:jc w:val="left"/>
            </w:pPr>
            <w:r>
              <w:rPr>
                <w:bCs/>
                <w:b/>
              </w:rPr>
              <w:t xml:space="preserve">Design Development:</w:t>
            </w:r>
            <w:r>
              <w:t xml:space="preserve"> </w:t>
            </w:r>
            <w:r>
              <w:t xml:space="preserve">Refinement of architectural drawings, selection of materials suitable for Tehran's climate, and coordination with structural engineers.</w:t>
            </w:r>
          </w:p>
        </w:tc>
        <w:tc>
          <w:tcPr/>
          <w:p>
            <w:pPr>
              <w:pStyle w:val="Compact"/>
              <w:jc w:val="left"/>
            </w:pPr>
            <w:r>
              <w:t xml:space="preserve">1 Phase</w:t>
            </w:r>
          </w:p>
        </w:tc>
        <w:tc>
          <w:tcPr/>
          <w:p>
            <w:pPr>
              <w:pStyle w:val="Compact"/>
              <w:jc w:val="left"/>
            </w:pPr>
            <w:r>
              <w:t xml:space="preserve">200,000,000</w:t>
            </w:r>
          </w:p>
        </w:tc>
        <w:tc>
          <w:tcPr/>
          <w:p>
            <w:pPr>
              <w:pStyle w:val="Compact"/>
              <w:jc w:val="left"/>
            </w:pPr>
            <w:r>
              <w:t xml:space="preserve">200,000,000</w:t>
            </w:r>
          </w:p>
        </w:tc>
      </w:tr>
      <w:tr>
        <w:tc>
          <w:tcPr/>
          <w:p>
            <w:pPr>
              <w:pStyle w:val="Compact"/>
              <w:jc w:val="left"/>
            </w:pPr>
            <w:r>
              <w:t xml:space="preserve">4</w:t>
            </w:r>
          </w:p>
        </w:tc>
        <w:tc>
          <w:tcPr/>
          <w:p>
            <w:pPr>
              <w:pStyle w:val="Compact"/>
              <w:jc w:val="left"/>
            </w:pPr>
            <w:r>
              <w:rPr>
                <w:bCs/>
                <w:b/>
              </w:rPr>
              <w:t xml:space="preserve">3D Visualization &amp; Rendering:</w:t>
            </w:r>
            <w:r>
              <w:t xml:space="preserve"> </w:t>
            </w:r>
            <w:r>
              <w:t xml:space="preserve">High-quality photorealistic exterior and interior renderings to assist in client approval and municipal presentation.</w:t>
            </w:r>
          </w:p>
        </w:tc>
        <w:tc>
          <w:tcPr/>
          <w:p>
            <w:pPr>
              <w:pStyle w:val="Compact"/>
              <w:jc w:val="left"/>
            </w:pPr>
            <w:r>
              <w:t xml:space="preserve">10 Images</w:t>
            </w:r>
          </w:p>
        </w:tc>
        <w:tc>
          <w:tcPr/>
          <w:p>
            <w:pPr>
              <w:pStyle w:val="Compact"/>
              <w:jc w:val="left"/>
            </w:pPr>
            <w:r>
              <w:t xml:space="preserve">5,000,000</w:t>
            </w:r>
          </w:p>
        </w:tc>
        <w:tc>
          <w:tcPr/>
          <w:p>
            <w:pPr>
              <w:pStyle w:val="Compact"/>
              <w:jc w:val="left"/>
            </w:pPr>
            <w:r>
              <w:t xml:space="preserve">50,000,000</w:t>
            </w:r>
          </w:p>
        </w:tc>
      </w:tr>
      <w:tr>
        <w:tc>
          <w:tcPr/>
          <w:p>
            <w:pPr>
              <w:pStyle w:val="Compact"/>
              <w:jc w:val="left"/>
            </w:pPr>
            <w:r>
              <w:t xml:space="preserve">5</w:t>
            </w:r>
          </w:p>
        </w:tc>
        <w:tc>
          <w:tcPr/>
          <w:p>
            <w:pPr>
              <w:pStyle w:val="Compact"/>
              <w:jc w:val="left"/>
            </w:pPr>
            <w:r>
              <w:rPr>
                <w:bCs/>
                <w:b/>
              </w:rPr>
              <w:t xml:space="preserve">Municipal Permitting Assistance:</w:t>
            </w:r>
            <w:r>
              <w:t xml:space="preserve"> </w:t>
            </w:r>
            <w:r>
              <w:t xml:space="preserve">Preparation of documents required by the Tehran Municipality for building permits and zoning approvals.</w:t>
            </w:r>
          </w:p>
        </w:tc>
        <w:tc>
          <w:tcPr/>
          <w:p>
            <w:pPr>
              <w:pStyle w:val="Compact"/>
              <w:jc w:val="left"/>
            </w:pPr>
            <w:r>
              <w:t xml:space="preserve">1 Service</w:t>
            </w:r>
          </w:p>
        </w:tc>
        <w:tc>
          <w:tcPr/>
          <w:p>
            <w:pPr>
              <w:pStyle w:val="Compact"/>
              <w:jc w:val="left"/>
            </w:pPr>
            <w:r>
              <w:t xml:space="preserve">30,000,000</w:t>
            </w:r>
          </w:p>
        </w:tc>
        <w:tc>
          <w:tcPr/>
          <w:p>
            <w:pPr>
              <w:pStyle w:val="Compact"/>
              <w:jc w:val="left"/>
            </w:pPr>
            <w:r>
              <w:t xml:space="preserve">30,000,000</w:t>
            </w:r>
          </w:p>
        </w:tc>
      </w:tr>
    </w:tbl>
    <w:p>
      <w:pPr>
        <w:pStyle w:val="BodyText"/>
      </w:pPr>
      <w:r>
        <w:t xml:space="preserve">Subtotal:</w:t>
      </w:r>
      <w:r>
        <w:t xml:space="preserve"> </w:t>
      </w:r>
      <w:r>
        <w:t xml:space="preserve">455,000,000 IRR</w:t>
      </w:r>
    </w:p>
    <w:p>
      <w:pPr>
        <w:pStyle w:val="BodyText"/>
      </w:pPr>
      <w:r>
        <w:t xml:space="preserve">Value Added Tax (VAT) 9%:</w:t>
      </w:r>
      <w:r>
        <w:t xml:space="preserve"> </w:t>
      </w:r>
      <w:r>
        <w:t xml:space="preserve">40,950,000 IRR</w:t>
      </w:r>
    </w:p>
    <w:p>
      <w:pPr>
        <w:pStyle w:val="BodyText"/>
      </w:pPr>
      <w:r>
        <w:t xml:space="preserve">Discount (Early Payment):</w:t>
      </w:r>
      <w:r>
        <w:t xml:space="preserve"> </w:t>
      </w:r>
      <w:r>
        <w:t xml:space="preserve">-10,000,000 IRR</w:t>
      </w:r>
    </w:p>
    <w:p>
      <w:pPr>
        <w:pStyle w:val="BodyText"/>
      </w:pPr>
      <w:r>
        <w:t xml:space="preserve">TOTAL DUE:</w:t>
      </w:r>
      <w:r>
        <w:t xml:space="preserve"> </w:t>
      </w:r>
      <w:r>
        <w:t xml:space="preserve">485,950,000 IRR</w:t>
      </w:r>
    </w:p>
    <w:bookmarkStart w:id="23"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 in Iran:</w:t>
      </w:r>
    </w:p>
    <w:p>
      <w:pPr>
        <w:pStyle w:val="BodyText"/>
      </w:pPr>
      <w:r>
        <w:rPr>
          <w:bCs/>
          <w:b/>
        </w:rPr>
        <w:t xml:space="preserve">Bank:</w:t>
      </w:r>
      <w:r>
        <w:t xml:space="preserve"> </w:t>
      </w:r>
      <w:r>
        <w:t xml:space="preserve">Bank Melli Iran</w:t>
      </w:r>
      <w:r>
        <w:br/>
      </w:r>
      <w:r>
        <w:rPr>
          <w:bCs/>
          <w:b/>
        </w:rPr>
        <w:t xml:space="preserve">Branch:</w:t>
      </w:r>
      <w:r>
        <w:t xml:space="preserve"> </w:t>
      </w:r>
      <w:r>
        <w:t xml:space="preserve">Valiasr Branch, Tehran</w:t>
      </w:r>
      <w:r>
        <w:br/>
      </w:r>
      <w:r>
        <w:rPr>
          <w:bCs/>
          <w:b/>
        </w:rPr>
        <w:t xml:space="preserve">Account Name:</w:t>
      </w:r>
      <w:r>
        <w:t xml:space="preserve"> </w:t>
      </w:r>
      <w:r>
        <w:t xml:space="preserve">Tehran Vista Architects Co.</w:t>
      </w:r>
      <w:r>
        <w:br/>
      </w:r>
      <w:r>
        <w:rPr>
          <w:bCs/>
          <w:b/>
        </w:rPr>
        <w:t xml:space="preserve">IBAN:</w:t>
      </w:r>
      <w:r>
        <w:t xml:space="preserve"> </w:t>
      </w:r>
      <w:r>
        <w:t xml:space="preserve">IR00 0500 0000 0000 0000 0000 00</w:t>
      </w:r>
      <w:r>
        <w:br/>
      </w:r>
      <w:r>
        <w:rPr>
          <w:bCs/>
          <w:b/>
        </w:rPr>
        <w:t xml:space="preserve">SWIFT Code:</w:t>
      </w:r>
      <w:r>
        <w:t xml:space="preserve"> </w:t>
      </w:r>
      <w:r>
        <w:t xml:space="preserve">MELLIRTH</w:t>
      </w:r>
    </w:p>
    <w:p>
      <w:pPr>
        <w:pStyle w:val="BodyText"/>
      </w:pPr>
      <w:r>
        <w:t xml:space="preserve">Please include the Invoice Number (INV-2023-TEH-089) in the payment reference to ensure proper allocation of funds.</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only the services explicitly listed above. Any additional services, such as construction supervision or landscape design, will be billed separately upon mutual agreement.</w:t>
      </w:r>
    </w:p>
    <w:p>
      <w:pPr>
        <w:pStyle w:val="BodyText"/>
      </w:pPr>
      <w:r>
        <w:t xml:space="preserve">2.</w:t>
      </w:r>
      <w:r>
        <w:t xml:space="preserve"> </w:t>
      </w:r>
      <w:r>
        <w:rPr>
          <w:bCs/>
          <w:b/>
        </w:rPr>
        <w:t xml:space="preserve">Intellectual Property:</w:t>
      </w:r>
      <w:r>
        <w:t xml:space="preserve"> </w:t>
      </w:r>
      <w:r>
        <w:t xml:space="preserve">All architectural drawings, designs, and renderings remain the intellectual property of Tehran Vista Architects until full payment is received. Upon payment, the client is granted a license to use the designs for the specified project in Tehran, Iran.</w:t>
      </w:r>
    </w:p>
    <w:p>
      <w:pPr>
        <w:pStyle w:val="BodyText"/>
      </w:pPr>
      <w:r>
        <w:t xml:space="preserve">3.</w:t>
      </w:r>
      <w:r>
        <w:t xml:space="preserve"> </w:t>
      </w:r>
      <w:r>
        <w:rPr>
          <w:bCs/>
          <w:b/>
        </w:rPr>
        <w:t xml:space="preserve">Revisions:</w:t>
      </w:r>
      <w:r>
        <w:t xml:space="preserve"> </w:t>
      </w:r>
      <w:r>
        <w:t xml:space="preserve">The quoted price includes up to two rounds of revisions for each design phase. Additional revisions will be charged at an hourly rate of 2,000,000 IRR.</w:t>
      </w:r>
    </w:p>
    <w:p>
      <w:pPr>
        <w:pStyle w:val="BodyText"/>
      </w:pPr>
      <w:r>
        <w:t xml:space="preserve">4.</w:t>
      </w:r>
      <w:r>
        <w:t xml:space="preserve"> </w:t>
      </w:r>
      <w:r>
        <w:rPr>
          <w:bCs/>
          <w:b/>
        </w:rPr>
        <w:t xml:space="preserve">Regulatory Compliance:</w:t>
      </w:r>
      <w:r>
        <w:t xml:space="preserve"> </w:t>
      </w:r>
      <w:r>
        <w:t xml:space="preserve">The Architect guarantees that all designs comply with the current building codes and regulations of the Tehran Municipality and the Iranian National Building Regulations. However, the client is responsible for obtaining all necessary permits and paying associated government fees.</w:t>
      </w:r>
    </w:p>
    <w:p>
      <w:pPr>
        <w:pStyle w:val="BodyText"/>
      </w:pPr>
      <w:r>
        <w:t xml:space="preserve">5.</w:t>
      </w:r>
      <w:r>
        <w:t xml:space="preserve"> </w:t>
      </w:r>
      <w:r>
        <w:rPr>
          <w:bCs/>
          <w:b/>
        </w:rPr>
        <w:t xml:space="preserve">Late Payments:</w:t>
      </w:r>
      <w:r>
        <w:t xml:space="preserve"> </w:t>
      </w:r>
      <w:r>
        <w:t xml:space="preserve">Invoices not paid by the due date will incur a late fee of 2% per month on the outstanding balance.</w:t>
      </w:r>
    </w:p>
    <w:p>
      <w:pPr>
        <w:pStyle w:val="BodyText"/>
      </w:pPr>
      <w:r>
        <w:t xml:space="preserve">6.</w:t>
      </w:r>
      <w:r>
        <w:t xml:space="preserve"> </w:t>
      </w:r>
      <w:r>
        <w:rPr>
          <w:bCs/>
          <w:b/>
        </w:rPr>
        <w:t xml:space="preserve">Force Majeure:</w:t>
      </w:r>
      <w:r>
        <w:t xml:space="preserve"> </w:t>
      </w:r>
      <w:r>
        <w:t xml:space="preserve">Neither party shall be liable for delays or failures in performance resulting from acts beyond their reasonable control, including but not limited to natural disasters, government actions, or economic sanctions affecting operations in Iran.</w:t>
      </w:r>
    </w:p>
    <w:p>
      <w:pPr>
        <w:pStyle w:val="BodyText"/>
      </w:pPr>
      <w:r>
        <w:t xml:space="preserve">7.</w:t>
      </w:r>
      <w:r>
        <w:t xml:space="preserve"> </w:t>
      </w:r>
      <w:r>
        <w:rPr>
          <w:bCs/>
          <w:b/>
        </w:rPr>
        <w:t xml:space="preserve">Governing Law:</w:t>
      </w:r>
      <w:r>
        <w:t xml:space="preserve"> </w:t>
      </w:r>
      <w:r>
        <w:t xml:space="preserve">This agreement and invoice are governed by the laws of the Islamic Republic of Iran. Any disputes arising from this invoice shall be resolved through arbitration in Tehran.</w:t>
      </w:r>
    </w:p>
    <w:bookmarkEnd w:id="24"/>
    <w:p>
      <w:pPr>
        <w:pStyle w:val="BodyText"/>
      </w:pPr>
      <w:r>
        <w:rPr>
          <w:bCs/>
          <w:b/>
        </w:rPr>
        <w:t xml:space="preserve">Authorized Signature (Architect)</w:t>
      </w:r>
    </w:p>
    <w:p>
      <w:pPr>
        <w:pStyle w:val="BodyText"/>
      </w:pPr>
      <w:r>
        <w:t xml:space="preserve">Dr. Sara Ahmadi, Lead Architect</w:t>
      </w:r>
    </w:p>
    <w:p>
      <w:pPr>
        <w:pStyle w:val="BodyText"/>
      </w:pPr>
      <w:r>
        <w:t xml:space="preserve">Tehran Vista Architects</w:t>
      </w:r>
    </w:p>
    <w:p>
      <w:pPr>
        <w:pStyle w:val="BodyText"/>
      </w:pPr>
      <w:r>
        <w:rPr>
          <w:bCs/>
          <w:b/>
        </w:rPr>
        <w:t xml:space="preserve">Client Acceptance</w:t>
      </w:r>
    </w:p>
    <w:p>
      <w:pPr>
        <w:pStyle w:val="BodyText"/>
      </w:pPr>
      <w:r>
        <w:t xml:space="preserve">Mr. Ali Rezaei</w:t>
      </w:r>
    </w:p>
    <w:p>
      <w:pPr>
        <w:pStyle w:val="BodyText"/>
      </w:pPr>
      <w:r>
        <w:t xml:space="preserve">Rezaei Construction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Tehran, Iran</dc:title>
  <dc:creator/>
  <dc:language>en</dc:language>
  <cp:keywords/>
  <dcterms:created xsi:type="dcterms:W3CDTF">2026-10-10T06:52:06Z</dcterms:created>
  <dcterms:modified xsi:type="dcterms:W3CDTF">2026-10-10T06:52:06Z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