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Jerusalem,</w:t>
      </w:r>
      <w:r>
        <w:t xml:space="preserve"> </w:t>
      </w:r>
      <w:r>
        <w:t xml:space="preserve">Israel</w:t>
      </w:r>
    </w:p>
    <w:bookmarkStart w:id="20" w:name="heritage-horizon-architects"/>
    <w:p>
      <w:pPr>
        <w:pStyle w:val="Heading1"/>
      </w:pPr>
      <w:r>
        <w:t xml:space="preserve">Heritage &amp; Horizon Architects</w:t>
      </w:r>
    </w:p>
    <w:p>
      <w:pPr>
        <w:pStyle w:val="FirstParagraph"/>
      </w:pPr>
      <w:r>
        <w:t xml:space="preserve">Registered Architectural Firm in Israel</w:t>
      </w:r>
    </w:p>
    <w:p>
      <w:pPr>
        <w:pStyle w:val="BodyText"/>
      </w:pPr>
      <w:r>
        <w:t xml:space="preserve">12 King David Street, Talpiot</w:t>
      </w:r>
    </w:p>
    <w:p>
      <w:pPr>
        <w:pStyle w:val="BodyText"/>
      </w:pPr>
      <w:r>
        <w:t xml:space="preserve">Jerusalem, 9410001, Israel</w:t>
      </w:r>
    </w:p>
    <w:p>
      <w:pPr>
        <w:pStyle w:val="BodyText"/>
      </w:pPr>
      <w:r>
        <w:t xml:space="preserve">VAT ID: 512345678</w:t>
      </w:r>
    </w:p>
    <w:p>
      <w:pPr>
        <w:pStyle w:val="BodyText"/>
      </w:pPr>
      <w:r>
        <w:t xml:space="preserve">License No: 12345 (Israeli Architects Association)</w:t>
      </w:r>
    </w:p>
    <w:p>
      <w:pPr>
        <w:pStyle w:val="BodyText"/>
      </w:pPr>
      <w:r>
        <w:t xml:space="preserve">Email: billing@heritagehorizon.co.il</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INV-JER-2023-089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David &amp; Sarah Cohen</w:t>
      </w:r>
    </w:p>
    <w:p>
      <w:pPr>
        <w:pStyle w:val="BodyText"/>
      </w:pPr>
      <w:r>
        <w:rPr>
          <w:bCs/>
          <w:b/>
        </w:rPr>
        <w:t xml:space="preserve">Project Address:</w:t>
      </w:r>
      <w:r>
        <w:t xml:space="preserve"> </w:t>
      </w:r>
      <w:r>
        <w:t xml:space="preserve">45 Emek Refaim Street</w:t>
      </w:r>
    </w:p>
    <w:p>
      <w:pPr>
        <w:pStyle w:val="BodyText"/>
      </w:pPr>
      <w:r>
        <w:rPr>
          <w:bCs/>
          <w:b/>
        </w:rPr>
        <w:t xml:space="preserve">City:</w:t>
      </w:r>
      <w:r>
        <w:t xml:space="preserve"> </w:t>
      </w:r>
      <w:r>
        <w:t xml:space="preserve">Jerusalem, Israel</w:t>
      </w:r>
    </w:p>
    <w:p>
      <w:pPr>
        <w:pStyle w:val="BodyText"/>
      </w:pPr>
      <w:r>
        <w:rPr>
          <w:bCs/>
          <w:b/>
        </w:rPr>
        <w:t xml:space="preserve">Zip Code:</w:t>
      </w:r>
      <w:r>
        <w:t xml:space="preserve"> </w:t>
      </w:r>
      <w:r>
        <w:t xml:space="preserve">9410001</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d.cohen@example.com</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Residential Renovation &amp; Expansion</w:t>
      </w:r>
    </w:p>
    <w:p>
      <w:pPr>
        <w:pStyle w:val="BodyText"/>
      </w:pPr>
      <w:r>
        <w:rPr>
          <w:bCs/>
          <w:b/>
        </w:rPr>
        <w:t xml:space="preserve">Phase:</w:t>
      </w:r>
      <w:r>
        <w:t xml:space="preserve"> </w:t>
      </w:r>
      <w:r>
        <w:t xml:space="preserve">Construction Documentation &amp; Permitting</w:t>
      </w:r>
    </w:p>
    <w:p>
      <w:pPr>
        <w:pStyle w:val="BodyText"/>
      </w:pPr>
      <w:r>
        <w:rPr>
          <w:bCs/>
          <w:b/>
        </w:rPr>
        <w:t xml:space="preserve">Reference:</w:t>
      </w:r>
      <w:r>
        <w:t xml:space="preserve"> </w:t>
      </w:r>
      <w:r>
        <w:t xml:space="preserve">Jerusalem Municipality Building Permit Application</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rPr>
                <w:bCs/>
                <w:b/>
              </w:rPr>
              <w:t xml:space="preserve">Site Analysis and Feasibility Study</w:t>
            </w:r>
            <w:r>
              <w:br/>
            </w:r>
            <w:r>
              <w:t xml:space="preserve">Comprehensive assessment of the property located in Jerusalem, including topographical survey review, solar orientation analysis, and compliance check with local Jerusalem zoning laws and heritage preservation guidelines.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Conceptual Design Development</w:t>
            </w:r>
            <w:r>
              <w:br/>
            </w:r>
            <w:r>
              <w:t xml:space="preserve">Creation of initial architectural concepts, floor plans, and 3D visualizations tailored to the client's requirements. This phase includes three rounds of revisions to ensure the design harmonizes with the traditional stone aesthetic common in Jerusalem residential architecture.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Construction Documentation</w:t>
            </w:r>
            <w:r>
              <w:br/>
            </w:r>
            <w:r>
              <w:t xml:space="preserve">Preparation of detailed technical drawings, structural coordination, and MEP (Mechanical, Electrical, Plumbing) layouts required for construction. These documents adhere strictly to the Israeli Building Code and Jerusalem Municipality standards.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rPr>
                <w:bCs/>
                <w:b/>
              </w:rPr>
              <w:t xml:space="preserve">Municipal Permitting Assistance</w:t>
            </w:r>
            <w:r>
              <w:br/>
            </w:r>
            <w:r>
              <w:t xml:space="preserve">Submission of architectural plans to the Jerusalem Municipality Planning and Building Department. Includes coordination with city planners, addressing comments, and securing the necessary building permits for the renovation project.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rPr>
                <w:bCs/>
                <w:b/>
              </w:rPr>
              <w:t xml:space="preserve">On-Site Consultation</w:t>
            </w:r>
            <w:r>
              <w:br/>
            </w:r>
            <w:r>
              <w:t xml:space="preserve">Professional architectural site visits to oversee the initial demolition and foundation work, ensuring alignment with the approved design documents.</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bl>
    <w:p>
      <w:pPr>
        <w:pStyle w:val="BodyText"/>
      </w:pPr>
      <w:r>
        <w:t xml:space="preserve">Subtotal:</w:t>
      </w:r>
      <w:r>
        <w:t xml:space="preserve"> </w:t>
      </w:r>
      <w:r>
        <w:t xml:space="preserve">44,200.00 ILS</w:t>
      </w:r>
    </w:p>
    <w:p>
      <w:pPr>
        <w:pStyle w:val="BodyText"/>
      </w:pPr>
      <w:r>
        <w:t xml:space="preserve">VAT (17%):</w:t>
      </w:r>
      <w:r>
        <w:t xml:space="preserve"> </w:t>
      </w:r>
      <w:r>
        <w:t xml:space="preserve">7,514.00 ILS</w:t>
      </w:r>
    </w:p>
    <w:p>
      <w:pPr>
        <w:pStyle w:val="BodyText"/>
      </w:pPr>
      <w:r>
        <w:t xml:space="preserve">Total Due:</w:t>
      </w:r>
      <w:r>
        <w:t xml:space="preserve"> </w:t>
      </w:r>
      <w:r>
        <w:t xml:space="preserve">51,714.00 ILS</w:t>
      </w:r>
    </w:p>
    <w:bookmarkStart w:id="24" w:name="terms-and-conditions"/>
    <w:p>
      <w:pPr>
        <w:pStyle w:val="Heading4"/>
      </w:pPr>
      <w:r>
        <w:t xml:space="preserve">Terms and Conditions</w:t>
      </w:r>
    </w:p>
    <w:p>
      <w:pPr>
        <w:pStyle w:val="FirstParagraph"/>
      </w:pPr>
      <w:r>
        <w:t xml:space="preserve">This invoice represents the professional fees for architectural services rendered by Heritage &amp; Horizon Architects for the project located in Jerusalem, Israel. Payment is due within 30 days of the invoice date. Late payments may incur a monthly interest charge of 1.5% as per Israeli law.</w:t>
      </w:r>
    </w:p>
    <w:p>
      <w:pPr>
        <w:pStyle w:val="BodyText"/>
      </w:pPr>
      <w:r>
        <w:t xml:space="preserve">All designs and drawings remain the intellectual property of the architect until full payment is received. The client is responsible for all municipal fees, permit costs, and third-party consultant fees (e.g., structural engineers, surveyors) unless otherwise agreed in writing.</w:t>
      </w:r>
    </w:p>
    <w:p>
      <w:pPr>
        <w:pStyle w:val="BodyText"/>
      </w:pPr>
      <w:r>
        <w:rPr>
          <w:bCs/>
          <w:b/>
        </w:rPr>
        <w:t xml:space="preserve">Bank Transfer Details:</w:t>
      </w:r>
      <w:r>
        <w:br/>
      </w:r>
      <w:r>
        <w:t xml:space="preserve">Bank: Bank Leumi, Israel</w:t>
      </w:r>
      <w:r>
        <w:br/>
      </w:r>
      <w:r>
        <w:t xml:space="preserve">Branch: Jerusalem Central</w:t>
      </w:r>
      <w:r>
        <w:br/>
      </w:r>
      <w:r>
        <w:t xml:space="preserve">Account Name: Heritage &amp; Horizon Architects Ltd.</w:t>
      </w:r>
      <w:r>
        <w:br/>
      </w:r>
      <w:r>
        <w:t xml:space="preserve">Account Number: 012345-6789012</w:t>
      </w:r>
      <w:r>
        <w:br/>
      </w:r>
      <w:r>
        <w:t xml:space="preserve">SWIFT Code: LUMIILIT</w:t>
      </w:r>
    </w:p>
    <w:p>
      <w:pPr>
        <w:pStyle w:val="BodyText"/>
      </w:pPr>
      <w:r>
        <w:t xml:space="preserve">Thank you for choosing our architectural services. We are committed to delivering high-quality design solutions that respect the unique character and regulations of Jerusalem.</w:t>
      </w:r>
    </w:p>
    <w:bookmarkEnd w:id="24"/>
    <w:p>
      <w:pPr>
        <w:pStyle w:val="BodyText"/>
      </w:pPr>
      <w:r>
        <w:rPr>
          <w:bCs/>
          <w:b/>
        </w:rPr>
        <w:t xml:space="preserve">Authorized Signature</w:t>
      </w:r>
    </w:p>
    <w:p>
      <w:pPr>
        <w:pStyle w:val="BodyText"/>
      </w:pPr>
      <w:r>
        <w:t xml:space="preserve">Heritage &amp; Horizon Architects</w:t>
      </w:r>
    </w:p>
    <w:p>
      <w:pPr>
        <w:pStyle w:val="BodyText"/>
      </w:pPr>
      <w:r>
        <w:rPr>
          <w:bCs/>
          <w:b/>
        </w:rPr>
        <w:t xml:space="preserve">Client Acknowledgment</w:t>
      </w:r>
    </w:p>
    <w:p>
      <w:pPr>
        <w:pStyle w:val="BodyText"/>
      </w:pPr>
      <w:r>
        <w:t xml:space="preserve">Received and Accepted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Jerusalem, Israel</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