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Tel</w:t>
      </w:r>
      <w:r>
        <w:t xml:space="preserve"> </w:t>
      </w:r>
      <w:r>
        <w:t xml:space="preserve">Aviv,</w:t>
      </w:r>
      <w:r>
        <w:t xml:space="preserve"> </w:t>
      </w:r>
      <w:r>
        <w:t xml:space="preserve">Israel</w:t>
      </w:r>
    </w:p>
    <w:bookmarkStart w:id="20" w:name="horizon-architectural-studio"/>
    <w:p>
      <w:pPr>
        <w:pStyle w:val="Heading1"/>
      </w:pPr>
      <w:r>
        <w:t xml:space="preserve">Horizon Architectural Studio</w:t>
      </w:r>
    </w:p>
    <w:p>
      <w:pPr>
        <w:pStyle w:val="FirstParagraph"/>
      </w:pPr>
      <w:r>
        <w:t xml:space="preserve">Professional Architectural Services</w:t>
      </w:r>
    </w:p>
    <w:p>
      <w:pPr>
        <w:pStyle w:val="BodyText"/>
      </w:pPr>
      <w:r>
        <w:t xml:space="preserve">12 Rothschild Boulevard, Tel Aviv-Yafo, Israel 6688101</w:t>
      </w:r>
    </w:p>
    <w:p>
      <w:pPr>
        <w:pStyle w:val="BodyText"/>
      </w:pPr>
      <w:r>
        <w:t xml:space="preserve">VAT ID: 512345678 | License No: 12345</w:t>
      </w:r>
    </w:p>
    <w:p>
      <w:pPr>
        <w:pStyle w:val="BodyText"/>
      </w:pPr>
      <w:r>
        <w:t xml:space="preserve">Email: billing@horizonarch.co.il | Phone: +972-3-555-0199</w:t>
      </w:r>
    </w:p>
    <w:bookmarkEnd w:id="20"/>
    <w:bookmarkStart w:id="21" w:name="invoice"/>
    <w:p>
      <w:pPr>
        <w:pStyle w:val="Heading2"/>
      </w:pPr>
      <w:r>
        <w:t xml:space="preserve">INVOICE</w:t>
      </w:r>
    </w:p>
    <w:p>
      <w:pPr>
        <w:pStyle w:val="FirstParagraph"/>
      </w:pPr>
      <w:r>
        <w:t xml:space="preserve">Invoice #: INV-2024-0892</w:t>
      </w:r>
    </w:p>
    <w:p>
      <w:pPr>
        <w:pStyle w:val="BodyText"/>
      </w:pPr>
      <w:r>
        <w:t xml:space="preserve">Date: October 24, 2024</w:t>
      </w:r>
    </w:p>
    <w:p>
      <w:pPr>
        <w:pStyle w:val="BodyText"/>
      </w:pPr>
      <w:r>
        <w:t xml:space="preserve">Due Date: November 24, 2024</w:t>
      </w:r>
    </w:p>
    <w:p>
      <w:pPr>
        <w:pStyle w:val="BodyText"/>
      </w:pPr>
      <w:r>
        <w:t xml:space="preserve">Project: Residential Renovation - Florentin District</w:t>
      </w:r>
    </w:p>
    <w:bookmarkEnd w:id="21"/>
    <w:bookmarkStart w:id="22" w:name="bill-to"/>
    <w:p>
      <w:pPr>
        <w:pStyle w:val="Heading3"/>
      </w:pPr>
      <w:r>
        <w:t xml:space="preserve">Bill To:</w:t>
      </w:r>
    </w:p>
    <w:p>
      <w:pPr>
        <w:pStyle w:val="FirstParagraph"/>
      </w:pPr>
      <w:r>
        <w:rPr>
          <w:bCs/>
          <w:b/>
        </w:rPr>
        <w:t xml:space="preserve">David &amp; Sarah Cohen</w:t>
      </w:r>
    </w:p>
    <w:p>
      <w:pPr>
        <w:pStyle w:val="BodyText"/>
      </w:pPr>
      <w:r>
        <w:t xml:space="preserve">45 Allenby Street, Tel Aviv-Yafo, Israel 6789012</w:t>
      </w:r>
    </w:p>
    <w:p>
      <w:pPr>
        <w:pStyle w:val="BodyText"/>
      </w:pPr>
      <w:r>
        <w:t xml:space="preserve">VAT ID: 598765432</w:t>
      </w:r>
    </w:p>
    <w:p>
      <w:pPr>
        <w:pStyle w:val="BodyText"/>
      </w:pPr>
      <w:r>
        <w:t xml:space="preserve">Email: david.cohen@example.com</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Architectural Services</w:t>
            </w:r>
          </w:p>
        </w:tc>
        <w:tc>
          <w:tcPr/>
          <w:p>
            <w:pPr>
              <w:pStyle w:val="Compact"/>
              <w:jc w:val="left"/>
            </w:pPr>
            <w:r>
              <w:t xml:space="preserve">Hours / Units</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rPr>
                <w:bCs/>
                <w:b/>
              </w:rPr>
              <w:t xml:space="preserve">Initial Consultation &amp; Site Analysis</w:t>
            </w:r>
            <w:r>
              <w:br/>
            </w:r>
            <w:r>
              <w:t xml:space="preserve">Comprehensive assessment of existing property structure in Tel Aviv, including structural integrity review, zoning compliance check with Tel Aviv-Yafo Municipality, and feasibility study for renovation. Includes 3 on-site visits and detailed report.</w:t>
            </w:r>
          </w:p>
        </w:tc>
        <w:tc>
          <w:tcPr/>
          <w:p>
            <w:pPr>
              <w:pStyle w:val="Compact"/>
              <w:jc w:val="left"/>
            </w:pPr>
            <w:r>
              <w:t xml:space="preserve">12</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2</w:t>
            </w:r>
          </w:p>
        </w:tc>
        <w:tc>
          <w:tcPr/>
          <w:p>
            <w:pPr>
              <w:pStyle w:val="Compact"/>
              <w:jc w:val="left"/>
            </w:pPr>
            <w:r>
              <w:rPr>
                <w:bCs/>
                <w:b/>
              </w:rPr>
              <w:t xml:space="preserve">Conceptual Design Development</w:t>
            </w:r>
            <w:r>
              <w:br/>
            </w:r>
            <w:r>
              <w:t xml:space="preserve">Creation of initial architectural concepts, floor plans, and 3D visualizations. Includes two design presentation meetings with clients, incorporating feedback on spatial layout, natural lighting optimization, and integration of modern Israeli architectural aesthetics with heritage preservation requirements.</w:t>
            </w:r>
          </w:p>
        </w:tc>
        <w:tc>
          <w:tcPr/>
          <w:p>
            <w:pPr>
              <w:pStyle w:val="Compact"/>
              <w:jc w:val="left"/>
            </w:pPr>
            <w:r>
              <w:t xml:space="preserve">25</w:t>
            </w:r>
          </w:p>
        </w:tc>
        <w:tc>
          <w:tcPr/>
          <w:p>
            <w:pPr>
              <w:pStyle w:val="Compact"/>
              <w:jc w:val="left"/>
            </w:pPr>
            <w:r>
              <w:t xml:space="preserve">650.00</w:t>
            </w:r>
          </w:p>
        </w:tc>
        <w:tc>
          <w:tcPr/>
          <w:p>
            <w:pPr>
              <w:pStyle w:val="Compact"/>
              <w:jc w:val="left"/>
            </w:pPr>
            <w:r>
              <w:t xml:space="preserve">16,250.00</w:t>
            </w:r>
          </w:p>
        </w:tc>
      </w:tr>
      <w:tr>
        <w:tc>
          <w:tcPr/>
          <w:p>
            <w:pPr>
              <w:pStyle w:val="Compact"/>
              <w:jc w:val="left"/>
            </w:pPr>
            <w:r>
              <w:t xml:space="preserve">3</w:t>
            </w:r>
          </w:p>
        </w:tc>
        <w:tc>
          <w:tcPr/>
          <w:p>
            <w:pPr>
              <w:pStyle w:val="Compact"/>
              <w:jc w:val="left"/>
            </w:pPr>
            <w:r>
              <w:rPr>
                <w:bCs/>
                <w:b/>
              </w:rPr>
              <w:t xml:space="preserve">Detailed Construction Documentation</w:t>
            </w:r>
            <w:r>
              <w:br/>
            </w:r>
            <w:r>
              <w:t xml:space="preserve">Preparation of comprehensive architectural drawings required for building permit submission to Tel Aviv-Yafo Municipality. Includes structural coordination, MEP (Mechanical, Electrical, Plumbing) layout integration, material specifications, and compliance with Israeli Building Code (Tikkun 5) and accessibility standards.</w:t>
            </w:r>
          </w:p>
        </w:tc>
        <w:tc>
          <w:tcPr/>
          <w:p>
            <w:pPr>
              <w:pStyle w:val="Compact"/>
              <w:jc w:val="left"/>
            </w:pPr>
            <w:r>
              <w:t xml:space="preserve">40</w:t>
            </w:r>
          </w:p>
        </w:tc>
        <w:tc>
          <w:tcPr/>
          <w:p>
            <w:pPr>
              <w:pStyle w:val="Compact"/>
              <w:jc w:val="left"/>
            </w:pPr>
            <w:r>
              <w:t xml:space="preserve">650.00</w:t>
            </w:r>
          </w:p>
        </w:tc>
        <w:tc>
          <w:tcPr/>
          <w:p>
            <w:pPr>
              <w:pStyle w:val="Compact"/>
              <w:jc w:val="left"/>
            </w:pPr>
            <w:r>
              <w:t xml:space="preserve">26,000.00</w:t>
            </w:r>
          </w:p>
        </w:tc>
      </w:tr>
      <w:tr>
        <w:tc>
          <w:tcPr/>
          <w:p>
            <w:pPr>
              <w:pStyle w:val="Compact"/>
              <w:jc w:val="left"/>
            </w:pPr>
            <w:r>
              <w:t xml:space="preserve">4</w:t>
            </w:r>
          </w:p>
        </w:tc>
        <w:tc>
          <w:tcPr/>
          <w:p>
            <w:pPr>
              <w:pStyle w:val="Compact"/>
              <w:jc w:val="left"/>
            </w:pPr>
            <w:r>
              <w:rPr>
                <w:bCs/>
                <w:b/>
              </w:rPr>
              <w:t xml:space="preserve">Municipal Permit Submission &amp; Coordination</w:t>
            </w:r>
            <w:r>
              <w:br/>
            </w:r>
            <w:r>
              <w:t xml:space="preserve">Management of all documentation submission to Tel Aviv-Yafo Planning and Building Department. Includes responding to municipal queries, coordinating with city engineers, and ensuring timely approval of building permits. Covers all administrative fees related to permit processing.</w:t>
            </w:r>
          </w:p>
        </w:tc>
        <w:tc>
          <w:tcPr/>
          <w:p>
            <w:pPr>
              <w:pStyle w:val="Compact"/>
              <w:jc w:val="left"/>
            </w:pPr>
            <w:r>
              <w:t xml:space="preserve">15</w:t>
            </w:r>
          </w:p>
        </w:tc>
        <w:tc>
          <w:tcPr/>
          <w:p>
            <w:pPr>
              <w:pStyle w:val="Compact"/>
              <w:jc w:val="left"/>
            </w:pPr>
            <w:r>
              <w:t xml:space="preserve">650.00</w:t>
            </w:r>
          </w:p>
        </w:tc>
        <w:tc>
          <w:tcPr/>
          <w:p>
            <w:pPr>
              <w:pStyle w:val="Compact"/>
              <w:jc w:val="left"/>
            </w:pPr>
            <w:r>
              <w:t xml:space="preserve">9,750.00</w:t>
            </w:r>
          </w:p>
        </w:tc>
      </w:tr>
      <w:tr>
        <w:tc>
          <w:tcPr/>
          <w:p>
            <w:pPr>
              <w:pStyle w:val="Compact"/>
              <w:jc w:val="left"/>
            </w:pPr>
            <w:r>
              <w:t xml:space="preserve">5</w:t>
            </w:r>
          </w:p>
        </w:tc>
        <w:tc>
          <w:tcPr/>
          <w:p>
            <w:pPr>
              <w:pStyle w:val="Compact"/>
              <w:jc w:val="left"/>
            </w:pPr>
            <w:r>
              <w:rPr>
                <w:bCs/>
                <w:b/>
              </w:rPr>
              <w:t xml:space="preserve">Interior Design Consultation</w:t>
            </w:r>
            <w:r>
              <w:br/>
            </w:r>
            <w:r>
              <w:t xml:space="preserve">Selection of materials, finishes, fixtures, and furniture layouts. Coordination with local Israeli suppliers and manufacturers. Includes creation of mood boards, material samples presentation, and detailed interior specifications document.</w:t>
            </w:r>
          </w:p>
        </w:tc>
        <w:tc>
          <w:tcPr/>
          <w:p>
            <w:pPr>
              <w:pStyle w:val="Compact"/>
              <w:jc w:val="left"/>
            </w:pPr>
            <w:r>
              <w:t xml:space="preserve">10</w:t>
            </w:r>
          </w:p>
        </w:tc>
        <w:tc>
          <w:tcPr/>
          <w:p>
            <w:pPr>
              <w:pStyle w:val="Compact"/>
              <w:jc w:val="left"/>
            </w:pPr>
            <w:r>
              <w:t xml:space="preserve">650.00</w:t>
            </w:r>
          </w:p>
        </w:tc>
        <w:tc>
          <w:tcPr/>
          <w:p>
            <w:pPr>
              <w:pStyle w:val="Compact"/>
              <w:jc w:val="left"/>
            </w:pPr>
            <w:r>
              <w:t xml:space="preserve">6,500.00</w:t>
            </w:r>
          </w:p>
        </w:tc>
      </w:tr>
      <w:tr>
        <w:tc>
          <w:tcPr/>
          <w:p>
            <w:pPr>
              <w:pStyle w:val="Compact"/>
              <w:jc w:val="left"/>
            </w:pPr>
            <w:r>
              <w:t xml:space="preserve">6</w:t>
            </w:r>
          </w:p>
        </w:tc>
        <w:tc>
          <w:tcPr/>
          <w:p>
            <w:pPr>
              <w:pStyle w:val="Compact"/>
              <w:jc w:val="left"/>
            </w:pPr>
            <w:r>
              <w:rPr>
                <w:bCs/>
                <w:b/>
              </w:rPr>
              <w:t xml:space="preserve">Construction Phase Site Supervision</w:t>
            </w:r>
            <w:r>
              <w:br/>
            </w:r>
            <w:r>
              <w:t xml:space="preserve">Regular site visits during construction phase to ensure adherence to architectural plans and quality standards. Includes coordination meetings with contractors, subcontractors, and engineers. Monthly progress reports provided to clients. Covers 8 site visits over 4 months.</w:t>
            </w:r>
          </w:p>
        </w:tc>
        <w:tc>
          <w:tcPr/>
          <w:p>
            <w:pPr>
              <w:pStyle w:val="Compact"/>
              <w:jc w:val="left"/>
            </w:pPr>
            <w:r>
              <w:t xml:space="preserve">8</w:t>
            </w:r>
          </w:p>
        </w:tc>
        <w:tc>
          <w:tcPr/>
          <w:p>
            <w:pPr>
              <w:pStyle w:val="Compact"/>
              <w:jc w:val="left"/>
            </w:pPr>
            <w:r>
              <w:t xml:space="preserve">800.00</w:t>
            </w:r>
          </w:p>
        </w:tc>
        <w:tc>
          <w:tcPr/>
          <w:p>
            <w:pPr>
              <w:pStyle w:val="Compact"/>
              <w:jc w:val="left"/>
            </w:pPr>
            <w:r>
              <w:t xml:space="preserve">6,400.00</w:t>
            </w:r>
          </w:p>
        </w:tc>
      </w:tr>
      <w:tr>
        <w:tc>
          <w:tcPr/>
          <w:p>
            <w:pPr>
              <w:pStyle w:val="Compact"/>
              <w:jc w:val="left"/>
            </w:pPr>
            <w:r>
              <w:t xml:space="preserve">7</w:t>
            </w:r>
          </w:p>
        </w:tc>
        <w:tc>
          <w:tcPr/>
          <w:p>
            <w:pPr>
              <w:pStyle w:val="Compact"/>
              <w:jc w:val="left"/>
            </w:pPr>
            <w:r>
              <w:rPr>
                <w:bCs/>
                <w:b/>
              </w:rPr>
              <w:t xml:space="preserve">Final Inspection &amp; Project Closeout</w:t>
            </w:r>
            <w:r>
              <w:br/>
            </w:r>
            <w:r>
              <w:t xml:space="preserve">Comprehensive final inspection of completed renovation work. Verification of all architectural and design elements. Preparation of as-built drawings and handover documentation. Coordination with Tel Aviv-Yafo Municipality for final occupancy permit.</w:t>
            </w:r>
          </w:p>
        </w:tc>
        <w:tc>
          <w:tcPr/>
          <w:p>
            <w:pPr>
              <w:pStyle w:val="Compact"/>
              <w:jc w:val="left"/>
            </w:pPr>
            <w:r>
              <w:t xml:space="preserve">5</w:t>
            </w:r>
          </w:p>
        </w:tc>
        <w:tc>
          <w:tcPr/>
          <w:p>
            <w:pPr>
              <w:pStyle w:val="Compact"/>
              <w:jc w:val="left"/>
            </w:pPr>
            <w:r>
              <w:t xml:space="preserve">650.00</w:t>
            </w:r>
          </w:p>
        </w:tc>
        <w:tc>
          <w:tcPr/>
          <w:p>
            <w:pPr>
              <w:pStyle w:val="Compact"/>
              <w:jc w:val="left"/>
            </w:pPr>
            <w:r>
              <w:t xml:space="preserve">3,250.00</w:t>
            </w:r>
          </w:p>
        </w:tc>
      </w:tr>
    </w:tbl>
    <w:p>
      <w:pPr>
        <w:pStyle w:val="BodyText"/>
      </w:pPr>
      <w:r>
        <w:t xml:space="preserve">Subtotal:</w:t>
      </w:r>
      <w:r>
        <w:t xml:space="preserve"> </w:t>
      </w:r>
      <w:r>
        <w:t xml:space="preserve">75,950.00 ILS</w:t>
      </w:r>
    </w:p>
    <w:p>
      <w:pPr>
        <w:pStyle w:val="BodyText"/>
      </w:pPr>
      <w:r>
        <w:t xml:space="preserve">VAT (17%):</w:t>
      </w:r>
      <w:r>
        <w:t xml:space="preserve"> </w:t>
      </w:r>
      <w:r>
        <w:t xml:space="preserve">12,911.50 ILS</w:t>
      </w:r>
    </w:p>
    <w:p>
      <w:pPr>
        <w:pStyle w:val="BodyText"/>
      </w:pPr>
      <w:r>
        <w:t xml:space="preserve">Total Due:</w:t>
      </w:r>
      <w:r>
        <w:t xml:space="preserve"> </w:t>
      </w:r>
      <w:r>
        <w:t xml:space="preserve">88,861.50 ILS</w:t>
      </w:r>
    </w:p>
    <w:bookmarkStart w:id="23" w:name="payment-instructions"/>
    <w:p>
      <w:pPr>
        <w:pStyle w:val="Heading3"/>
      </w:pPr>
      <w:r>
        <w:t xml:space="preserve">Payment Instructions</w:t>
      </w:r>
    </w:p>
    <w:p>
      <w:pPr>
        <w:pStyle w:val="FirstParagraph"/>
      </w:pPr>
      <w:r>
        <w:rPr>
          <w:bCs/>
          <w:b/>
        </w:rPr>
        <w:t xml:space="preserve">Bank:</w:t>
      </w:r>
      <w:r>
        <w:t xml:space="preserve"> </w:t>
      </w:r>
      <w:r>
        <w:t xml:space="preserve">Bank Hapoalim, Israel</w:t>
      </w:r>
    </w:p>
    <w:p>
      <w:pPr>
        <w:pStyle w:val="BodyText"/>
      </w:pPr>
      <w:r>
        <w:rPr>
          <w:bCs/>
          <w:b/>
        </w:rPr>
        <w:t xml:space="preserve">Branch:</w:t>
      </w:r>
      <w:r>
        <w:t xml:space="preserve"> </w:t>
      </w:r>
      <w:r>
        <w:t xml:space="preserve">Tel Aviv - Rothschild Branch (001)</w:t>
      </w:r>
    </w:p>
    <w:p>
      <w:pPr>
        <w:pStyle w:val="BodyText"/>
      </w:pPr>
      <w:r>
        <w:rPr>
          <w:bCs/>
          <w:b/>
        </w:rPr>
        <w:t xml:space="preserve">Account Name:</w:t>
      </w:r>
      <w:r>
        <w:t xml:space="preserve"> </w:t>
      </w:r>
      <w:r>
        <w:t xml:space="preserve">Horizon Architectural Studio Ltd.</w:t>
      </w:r>
    </w:p>
    <w:p>
      <w:pPr>
        <w:pStyle w:val="BodyText"/>
      </w:pPr>
      <w:r>
        <w:rPr>
          <w:bCs/>
          <w:b/>
        </w:rPr>
        <w:t xml:space="preserve">Account Number:</w:t>
      </w:r>
      <w:r>
        <w:t xml:space="preserve"> </w:t>
      </w:r>
      <w:r>
        <w:t xml:space="preserve">999-88-777665</w:t>
      </w:r>
    </w:p>
    <w:p>
      <w:pPr>
        <w:pStyle w:val="BodyText"/>
      </w:pPr>
      <w:r>
        <w:rPr>
          <w:bCs/>
          <w:b/>
        </w:rPr>
        <w:t xml:space="preserve">SWIFT/BIC:</w:t>
      </w:r>
      <w:r>
        <w:t xml:space="preserve"> </w:t>
      </w:r>
      <w:r>
        <w:t xml:space="preserve">HAPoilmm</w:t>
      </w:r>
    </w:p>
    <w:p>
      <w:pPr>
        <w:pStyle w:val="BodyText"/>
      </w:pPr>
      <w:r>
        <w:rPr>
          <w:bCs/>
          <w:b/>
        </w:rPr>
        <w:t xml:space="preserve">Reference:</w:t>
      </w:r>
      <w:r>
        <w:t xml:space="preserve"> </w:t>
      </w:r>
      <w:r>
        <w:t xml:space="preserve">Please include Invoice Number INV-2024-0892 in payment reference</w:t>
      </w:r>
    </w:p>
    <w:p>
      <w:pPr>
        <w:pStyle w:val="BodyText"/>
      </w:pPr>
      <w:r>
        <w:rPr>
          <w:bCs/>
          <w:b/>
        </w:rPr>
        <w:t xml:space="preserve">Payment Terms:</w:t>
      </w:r>
      <w:r>
        <w:t xml:space="preserve"> </w:t>
      </w:r>
      <w:r>
        <w:t xml:space="preserve">Net 30 days from invoice date. Late payments subject to 1.5% monthly interest as per Israeli law.</w:t>
      </w:r>
    </w:p>
    <w:bookmarkEnd w:id="23"/>
    <w:bookmarkStart w:id="24" w:name="important-notes-terms"/>
    <w:p>
      <w:pPr>
        <w:pStyle w:val="Heading4"/>
      </w:pPr>
      <w:r>
        <w:t xml:space="preserve">Important Notes &amp; Terms:</w:t>
      </w:r>
    </w:p>
    <w:p>
      <w:pPr>
        <w:pStyle w:val="FirstParagraph"/>
      </w:pPr>
      <w:r>
        <w:t xml:space="preserve">1. This invoice represents professional architectural services rendered in accordance with the agreement dated September 1, 2024, between Horizon Architectural Studio Ltd. and the client.</w:t>
      </w:r>
    </w:p>
    <w:p>
      <w:pPr>
        <w:pStyle w:val="BodyText"/>
      </w:pPr>
      <w:r>
        <w:t xml:space="preserve">2. All services comply with the regulations of the Israeli Architects Association and the Tel Aviv-Yafo Municipality Building Department.</w:t>
      </w:r>
    </w:p>
    <w:p>
      <w:pPr>
        <w:pStyle w:val="BodyText"/>
      </w:pPr>
      <w:r>
        <w:t xml:space="preserve">3. VAT is calculated at the standard Israeli rate of 17% as applicable to professional services.</w:t>
      </w:r>
    </w:p>
    <w:p>
      <w:pPr>
        <w:pStyle w:val="BodyText"/>
      </w:pPr>
      <w:r>
        <w:t xml:space="preserve">4. Any changes to the scope of work after approval will be billed separately with prior written agreement.</w:t>
      </w:r>
    </w:p>
    <w:p>
      <w:pPr>
        <w:pStyle w:val="BodyText"/>
      </w:pPr>
      <w:r>
        <w:t xml:space="preserve">5. Please retain this invoice for your records and tax purposes. In case of any discrepancies, please contact our billing department within 14 days of receipt.</w:t>
      </w:r>
    </w:p>
    <w:p>
      <w:pPr>
        <w:pStyle w:val="BodyText"/>
      </w:pPr>
      <w:r>
        <w:t xml:space="preserve">6. This document serves as an official tax invoice under Israeli tax law and may be used for VAT deduction purposes by eligible businesses.</w:t>
      </w:r>
    </w:p>
    <w:p>
      <w:pPr>
        <w:pStyle w:val="BodyText"/>
      </w:pPr>
      <w:r>
        <w:t xml:space="preserve">7. All architectural drawings and designs remain the intellectual property of Horizon Architectural Studio until full payment is received.</w:t>
      </w:r>
    </w:p>
    <w:bookmarkEnd w:id="24"/>
    <w:p>
      <w:pPr>
        <w:pStyle w:val="BodyText"/>
      </w:pPr>
      <w:r>
        <w:t xml:space="preserve">Authorized Signature</w:t>
      </w:r>
    </w:p>
    <w:p>
      <w:pPr>
        <w:pStyle w:val="BodyText"/>
      </w:pPr>
      <w:r>
        <w:t xml:space="preserve">Yael Mizrahi, R.A.</w:t>
      </w:r>
    </w:p>
    <w:p>
      <w:pPr>
        <w:pStyle w:val="BodyText"/>
      </w:pPr>
      <w:r>
        <w:t xml:space="preserve">Principal Architect</w:t>
      </w:r>
    </w:p>
    <w:p>
      <w:pPr>
        <w:pStyle w:val="BodyText"/>
      </w:pPr>
      <w:r>
        <w:t xml:space="preserve">Horizon Architectural Studio Ltd.</w:t>
      </w:r>
    </w:p>
    <w:p>
      <w:pPr>
        <w:pStyle w:val="BodyText"/>
      </w:pPr>
      <w:r>
        <w:t xml:space="preserve">Client Acknowledgment</w:t>
      </w:r>
    </w:p>
    <w:p>
      <w:pPr>
        <w:pStyle w:val="BodyText"/>
      </w:pPr>
      <w:r>
        <w:t xml:space="preserve">_________________________</w:t>
      </w:r>
    </w:p>
    <w:p>
      <w:pPr>
        <w:pStyle w:val="BodyText"/>
      </w:pPr>
      <w:r>
        <w:t xml:space="preserve">Date: 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Architectural Services Invoice - Tel Aviv, Israel</dc:title>
  <dc:creator/>
  <dc:language>en</dc:language>
  <cp:keywords/>
  <dcterms:created xsi:type="dcterms:W3CDTF">2026-10-10T07:24:24Z</dcterms:created>
  <dcterms:modified xsi:type="dcterms:W3CDTF">2026-10-10T07:24:24Z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