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Osaka,</w:t>
      </w:r>
      <w:r>
        <w:t xml:space="preserve"> </w:t>
      </w:r>
      <w:r>
        <w:t xml:space="preserve">Japan</w:t>
      </w:r>
    </w:p>
    <w:bookmarkStart w:id="20" w:name="osaka-modern-architecture-studio"/>
    <w:p>
      <w:pPr>
        <w:pStyle w:val="Heading1"/>
      </w:pPr>
      <w:r>
        <w:t xml:space="preserve">Osaka Modern Architecture Studio</w:t>
      </w:r>
    </w:p>
    <w:p>
      <w:pPr>
        <w:pStyle w:val="FirstParagraph"/>
      </w:pPr>
      <w:r>
        <w:t xml:space="preserve">1-2-3 Umeda, Kita-ku, Osaka 530-0001, Japan</w:t>
      </w:r>
    </w:p>
    <w:p>
      <w:pPr>
        <w:pStyle w:val="BodyText"/>
      </w:pPr>
      <w:r>
        <w:t xml:space="preserve">Phone: +81-6-1234-5678</w:t>
      </w:r>
    </w:p>
    <w:p>
      <w:pPr>
        <w:pStyle w:val="BodyText"/>
      </w:pPr>
      <w:r>
        <w:t xml:space="preserve">Email: billing@osakamodernarch.jp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Architectural Services</w:t>
      </w:r>
    </w:p>
    <w:bookmarkEnd w:id="21"/>
    <w:p>
      <w:pPr>
        <w:pStyle w:val="BodyText"/>
      </w:pPr>
      <w:r>
        <w:rPr>
          <w:bCs/>
          <w:b/>
        </w:rPr>
        <w:t xml:space="preserve">Billed To:</w:t>
      </w:r>
      <w:r>
        <w:br/>
      </w:r>
    </w:p>
    <w:p>
      <w:pPr>
        <w:pStyle w:val="BodyText"/>
      </w:pPr>
      <w:r>
        <w:t xml:space="preserve">Kansai Development Holdings Ltd.</w:t>
      </w:r>
    </w:p>
    <w:p>
      <w:pPr>
        <w:pStyle w:val="BodyText"/>
      </w:pPr>
      <w:r>
        <w:t xml:space="preserve">Attn: Mr. Hiroshi Tanaka</w:t>
      </w:r>
    </w:p>
    <w:p>
      <w:pPr>
        <w:pStyle w:val="BodyText"/>
      </w:pPr>
      <w:r>
        <w:t xml:space="preserve">4-5-6 Namba, Chuo-ku, Osaka 542-0076, Japan</w:t>
      </w:r>
    </w:p>
    <w:p>
      <w:pPr>
        <w:pStyle w:val="BodyText"/>
      </w:pPr>
      <w:r>
        <w:t xml:space="preserve">Phone: +81-6-9876-5432</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Osaka Bay Residential Complex Phase II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rPr>
                <w:bCs/>
                <w:b/>
              </w:rPr>
              <w:t xml:space="preserve">Phase 1: Conceptual Design &amp; Site Analysis</w:t>
            </w:r>
            <w:r>
              <w:br/>
            </w:r>
            <w:r>
              <w:t xml:space="preserve">Comprehensive architectural consultation for the Osaka Bay Residential Complex. This includes detailed site analysis specific to the geographical and regulatory constraints of Osaka, Japan. The architect has conducted thorough evaluations of local zoning laws, seismic requirements, and environmental impact assessments mandated by the Osaka City Planning Bureau. Conceptual sketches and 3D visualizations have been developed to align with the client's vision while respecting the cultural and aesthetic context of the region.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Phase 2: Schematic Design &amp; Structural Planning</w:t>
            </w:r>
            <w:r>
              <w:br/>
            </w:r>
            <w:r>
              <w:t xml:space="preserve">Development of detailed schematic designs including floor plans, elevations, and sections. The architect has coordinated with structural engineers to ensure compliance with Japan's Building Standards Act. This phase includes iterative design reviews with the client to refine spatial layouts, material selections, and energy efficiency strategies tailored to Osaka's climate. All designs incorporate sustainable practices and modern architectural principles suitable for high-density urban environments in Japan.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rPr>
                <w:bCs/>
                <w:b/>
              </w:rPr>
              <w:t xml:space="preserve">Phase 3: Design Development &amp; Documentation</w:t>
            </w:r>
            <w:r>
              <w:br/>
            </w:r>
            <w:r>
              <w:t xml:space="preserve">Preparation of comprehensive construction documents required for permitting and bidding. This includes detailed architectural drawings, specifications, and schedules. The architect has ensured all documentation meets the stringent requirements of Osaka municipal authorities. Coordination with MEP (Mechanical, Electrical, Plumbing) consultants has been completed to integrate all systems seamlessly into the architectural design. This phase is critical for ensuring accurate cost estimation and smooth construction execution.</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rPr>
                <w:bCs/>
                <w:b/>
              </w:rPr>
              <w:t xml:space="preserve">Phase 4: Permitting Assistance &amp; Regulatory Compliance</w:t>
            </w:r>
            <w:r>
              <w:br/>
            </w:r>
            <w:r>
              <w:t xml:space="preserve">Professional services to navigate the complex permitting process in Osaka, Japan. The architect has prepared and submitted all necessary applications to the Osaka City Building Division, including fire safety plans, accessibility compliance documents, and environmental impact reports. This service includes responding to official inquiries, attending review meetings, and making required revisions to ensure timely approval. Expertise in local Japanese building codes and regulations is essential for this phase.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Phase 5: Construction Administration &amp; Site Supervision</w:t>
            </w:r>
            <w:r>
              <w:br/>
            </w:r>
            <w:r>
              <w:t xml:space="preserve">Ongoing architectural oversight during the construction phase. The architect will conduct regular site visits to monitor progress, ensure adherence to design specifications, and address any on-site issues. This includes reviewing shop drawings, approving material samples, and coordinating with contractors and subcontractors. The architect's role is vital in maintaining design integrity and quality standards throughout the construction process in Osaka.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rPr>
                <w:bCs/>
                <w:b/>
              </w:rPr>
              <w:t xml:space="preserve">Additional Services: Interior Design Consultation</w:t>
            </w:r>
            <w:r>
              <w:br/>
            </w:r>
            <w:r>
              <w:t xml:space="preserve">Supplementary architectural services focused on interior spaces. This includes space planning, material selection, lighting design, and furniture layout recommendations. The architect has worked closely with interior designers to create cohesive environments that reflect the overall architectural vision. These services enhance the functionality and aesthetic appeal of the residential units, ensuring a high-quality living experience for future occupants in Osaka.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¥10,500,000</w:t>
      </w:r>
    </w:p>
    <w:p>
      <w:pPr>
        <w:pStyle w:val="BodyText"/>
      </w:pPr>
      <w:r>
        <w:t xml:space="preserve">Consumption Tax (10%):</w:t>
      </w:r>
      <w:r>
        <w:t xml:space="preserve"> </w:t>
      </w:r>
      <w:r>
        <w:t xml:space="preserve">¥1,050,000</w:t>
      </w:r>
    </w:p>
    <w:p>
      <w:pPr>
        <w:pStyle w:val="BodyText"/>
      </w:pPr>
      <w:r>
        <w:t xml:space="preserve">Total Amount Due:</w:t>
      </w:r>
      <w:r>
        <w:t xml:space="preserve"> </w:t>
      </w:r>
      <w:r>
        <w:t xml:space="preserve">¥11,550,000</w:t>
      </w:r>
    </w:p>
    <w:bookmarkStart w:id="22" w:name="payment-terms-important-notes"/>
    <w:p>
      <w:pPr>
        <w:pStyle w:val="Heading3"/>
      </w:pPr>
      <w:r>
        <w:t xml:space="preserve">Payment Terms &amp; Important Notes:</w:t>
      </w:r>
    </w:p>
    <w:p>
      <w:pPr>
        <w:numPr>
          <w:ilvl w:val="0"/>
          <w:numId w:val="1001"/>
        </w:numPr>
        <w:pStyle w:val="Compact"/>
      </w:pPr>
      <w:r>
        <w:t xml:space="preserve">Payment is due within 30 days of the invoice date. Late payments may incur a penalty of 1.5% per month.</w:t>
      </w:r>
    </w:p>
    <w:p>
      <w:pPr>
        <w:numPr>
          <w:ilvl w:val="0"/>
          <w:numId w:val="1001"/>
        </w:numPr>
        <w:pStyle w:val="Compact"/>
      </w:pPr>
      <w:r>
        <w:t xml:space="preserve">Please include the invoice number (INV-2024-0892) as a reference when making payment.</w:t>
      </w:r>
    </w:p>
    <w:p>
      <w:pPr>
        <w:numPr>
          <w:ilvl w:val="0"/>
          <w:numId w:val="1001"/>
        </w:numPr>
        <w:pStyle w:val="Compact"/>
      </w:pPr>
      <w:r>
        <w:t xml:space="preserve">All amounts are in Japanese Yen (JPY). Prices include applicable consumption tax as per Japanese tax law.</w:t>
      </w:r>
    </w:p>
    <w:p>
      <w:pPr>
        <w:numPr>
          <w:ilvl w:val="0"/>
          <w:numId w:val="1001"/>
        </w:numPr>
        <w:pStyle w:val="Compact"/>
      </w:pPr>
      <w:r>
        <w:t xml:space="preserve">Bank Transfer Details: Mizuho Bank, Osaka Main Branch, Account Number: 1234567, Account Name: Osaka Modern Architecture Studio.</w:t>
      </w:r>
    </w:p>
    <w:p>
      <w:pPr>
        <w:numPr>
          <w:ilvl w:val="0"/>
          <w:numId w:val="1001"/>
        </w:numPr>
        <w:pStyle w:val="Compact"/>
      </w:pPr>
      <w:r>
        <w:t xml:space="preserve">This invoice represents professional architectural services rendered in accordance with the contract dated September 1, 2024.</w:t>
      </w:r>
    </w:p>
    <w:p>
      <w:pPr>
        <w:numPr>
          <w:ilvl w:val="0"/>
          <w:numId w:val="1001"/>
        </w:numPr>
        <w:pStyle w:val="Compact"/>
      </w:pPr>
      <w:r>
        <w:t xml:space="preserve">Any disputes regarding this invoice must be raised in writing within 14 days of receipt.</w:t>
      </w:r>
    </w:p>
    <w:p>
      <w:pPr>
        <w:numPr>
          <w:ilvl w:val="0"/>
          <w:numId w:val="1001"/>
        </w:numPr>
        <w:pStyle w:val="Compact"/>
      </w:pPr>
      <w:r>
        <w:t xml:space="preserve">The architect retains all intellectual property rights to design documents until full payment is received.</w:t>
      </w:r>
    </w:p>
    <w:p>
      <w:pPr>
        <w:numPr>
          <w:ilvl w:val="0"/>
          <w:numId w:val="1001"/>
        </w:numPr>
        <w:pStyle w:val="Compact"/>
      </w:pPr>
      <w:r>
        <w:t xml:space="preserve">For questions regarding this invoice, please contact our billing department at billing@osakamodernarch.jp.</w:t>
      </w:r>
    </w:p>
    <w:bookmarkEnd w:id="22"/>
    <w:p>
      <w:pPr>
        <w:pStyle w:val="FirstParagraph"/>
      </w:pPr>
      <w:r>
        <w:t xml:space="preserve">Thank you for your business. We appreciate your trust in our architectural expertise.</w:t>
      </w:r>
    </w:p>
    <w:p>
      <w:pPr>
        <w:pStyle w:val="BodyText"/>
      </w:pPr>
      <w:r>
        <w:t xml:space="preserve">Osaka Modern Architecture Studio | Licensed Architectural Firm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Osaka, Japan</dc:title>
  <dc:creator/>
  <dc:language>en</dc:language>
  <cp:keywords/>
  <dcterms:created xsi:type="dcterms:W3CDTF">2026-10-10T08:27:39Z</dcterms:created>
  <dcterms:modified xsi:type="dcterms:W3CDTF">2026-10-10T08:27:39Z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