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Almaty,</w:t>
      </w:r>
      <w:r>
        <w:t xml:space="preserve"> </w:t>
      </w:r>
      <w:r>
        <w:t xml:space="preserve">Kazakhstan</w:t>
      </w:r>
    </w:p>
    <w:bookmarkStart w:id="20" w:name="almaty-horizon-architects-llp"/>
    <w:p>
      <w:pPr>
        <w:pStyle w:val="Heading1"/>
      </w:pPr>
      <w:r>
        <w:t xml:space="preserve">Almaty Horizon Architects LLP</w:t>
      </w:r>
    </w:p>
    <w:p>
      <w:pPr>
        <w:pStyle w:val="FirstParagraph"/>
      </w:pPr>
      <w:r>
        <w:t xml:space="preserve">Professional Architectural Design &amp; Consultancy</w:t>
      </w:r>
    </w:p>
    <w:p>
      <w:pPr>
        <w:pStyle w:val="BodyText"/>
      </w:pPr>
      <w:r>
        <w:t xml:space="preserve">Address: Al-Farabi Avenue, 123, Office 4B</w:t>
      </w:r>
    </w:p>
    <w:p>
      <w:pPr>
        <w:pStyle w:val="BodyText"/>
      </w:pPr>
      <w:r>
        <w:t xml:space="preserve">Almaty, Kazakhstan, 050000</w:t>
      </w:r>
    </w:p>
    <w:p>
      <w:pPr>
        <w:pStyle w:val="BodyText"/>
      </w:pPr>
      <w:r>
        <w:t xml:space="preserve">Phone: +7 (727) 123-45-67</w:t>
      </w:r>
    </w:p>
    <w:p>
      <w:pPr>
        <w:pStyle w:val="BodyText"/>
      </w:pPr>
      <w:r>
        <w:t xml:space="preserve">Email: billing@almatyhorizon.kz</w:t>
      </w:r>
    </w:p>
    <w:p>
      <w:pPr>
        <w:pStyle w:val="BodyText"/>
      </w:pPr>
      <w:r>
        <w:t xml:space="preserve">BIN: 123456789012</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Green Valley Development JSC</w:t>
      </w:r>
    </w:p>
    <w:p>
      <w:pPr>
        <w:pStyle w:val="BodyText"/>
      </w:pPr>
      <w:r>
        <w:t xml:space="preserve">Attn: Mr. Arman Kozhabayev, Project Director</w:t>
      </w:r>
    </w:p>
    <w:p>
      <w:pPr>
        <w:pStyle w:val="BodyText"/>
      </w:pPr>
      <w:r>
        <w:t xml:space="preserve">Address: Dostyk Avenue, 88, Business Center "Skyline"</w:t>
      </w:r>
    </w:p>
    <w:p>
      <w:pPr>
        <w:pStyle w:val="BodyText"/>
      </w:pPr>
      <w:r>
        <w:t xml:space="preserve">Almaty, Kazakhstan, 050010</w:t>
      </w:r>
    </w:p>
    <w:p>
      <w:pPr>
        <w:pStyle w:val="BodyText"/>
      </w:pPr>
      <w:r>
        <w:t xml:space="preserve">BIN: 987654321098</w:t>
      </w:r>
    </w:p>
    <w:p>
      <w:pPr>
        <w:pStyle w:val="BodyText"/>
      </w:pPr>
      <w:r>
        <w:t xml:space="preserve">Invoice Details:</w:t>
      </w:r>
    </w:p>
    <w:p>
      <w:pPr>
        <w:pStyle w:val="BodyText"/>
      </w:pPr>
      <w:r>
        <w:rPr>
          <w:bCs/>
          <w:b/>
        </w:rPr>
        <w:t xml:space="preserve">Invoice Number:</w:t>
      </w:r>
      <w:r>
        <w:t xml:space="preserve"> </w:t>
      </w:r>
      <w:r>
        <w:t xml:space="preserve">INV-2023-ALM-045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Residential Complex "Alatau Heights"</w:t>
      </w:r>
    </w:p>
    <w:p>
      <w:pPr>
        <w:pStyle w:val="BodyText"/>
      </w:pPr>
      <w:r>
        <w:rPr>
          <w:bCs/>
          <w:b/>
        </w:rPr>
        <w:t xml:space="preserve">Payment Terms:</w:t>
      </w:r>
      <w:r>
        <w:t xml:space="preserve"> </w:t>
      </w:r>
      <w:r>
        <w:t xml:space="preserve">Net 30 Days</w:t>
      </w:r>
    </w:p>
    <w:p>
      <w:pPr>
        <w:pStyle w:val="BodyText"/>
      </w:pPr>
      <w:r>
        <w:t xml:space="preserve">Dear Valued Client,</w:t>
      </w:r>
      <w:r>
        <w:br/>
      </w:r>
      <w:r>
        <w:br/>
      </w:r>
      <w:r>
        <w:t xml:space="preserve">This invoice represents the professional architectural services rendered by Almaty Horizon Architects LLP for the ongoing development project located in the heart of Almaty, Kazakhstan. As a leading architectural firm based in Almaty, we are committed to delivering innovative, sustainable, and culturally resonant designs that reflect the unique character of Kazakhstan's modern urban landscape. The following charges cover the completion of Phase II: Detailed Design Development and Structural Coordination for the "Alatau Heights" residential complex.</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Hours/Units</w:t>
            </w:r>
          </w:p>
        </w:tc>
        <w:tc>
          <w:tcPr/>
          <w:p>
            <w:pPr>
              <w:pStyle w:val="Compact"/>
              <w:jc w:val="left"/>
            </w:pPr>
            <w:r>
              <w:t xml:space="preserve">Rate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Conceptual Design Refinement:</w:t>
            </w:r>
            <w:r>
              <w:t xml:space="preserve"> </w:t>
            </w:r>
            <w:r>
              <w:t xml:space="preserve">Finalization of massing studies, facade articulation, and landscape integration specific to the Almaty climate conditions. Includes 3D visualization renders for stakeholder approval.</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1,800,000.00</w:t>
            </w:r>
          </w:p>
        </w:tc>
        <w:tc>
          <w:tcPr/>
          <w:p>
            <w:pPr>
              <w:pStyle w:val="Compact"/>
              <w:jc w:val="left"/>
            </w:pPr>
            <w:r>
              <w:t xml:space="preserve">216,000.00</w:t>
            </w:r>
          </w:p>
        </w:tc>
      </w:tr>
      <w:tr>
        <w:tc>
          <w:tcPr/>
          <w:p>
            <w:pPr>
              <w:pStyle w:val="Compact"/>
              <w:jc w:val="left"/>
            </w:pPr>
            <w:r>
              <w:t xml:space="preserve">2</w:t>
            </w:r>
          </w:p>
        </w:tc>
        <w:tc>
          <w:tcPr/>
          <w:p>
            <w:pPr>
              <w:pStyle w:val="Compact"/>
              <w:jc w:val="left"/>
            </w:pPr>
            <w:r>
              <w:rPr>
                <w:bCs/>
                <w:b/>
              </w:rPr>
              <w:t xml:space="preserve">Detailed Architectural Drawings:</w:t>
            </w:r>
            <w:r>
              <w:t xml:space="preserve"> </w:t>
            </w:r>
            <w:r>
              <w:t xml:space="preserve">Production of comprehensive construction documents including floor plans, elevations, sections, and wall details compliant with SNiP and local Almaty city building codes.</w:t>
            </w:r>
          </w:p>
        </w:tc>
        <w:tc>
          <w:tcPr/>
          <w:p>
            <w:pPr>
              <w:pStyle w:val="Compact"/>
              <w:jc w:val="left"/>
            </w:pPr>
            <w:r>
              <w:t xml:space="preserve">250</w:t>
            </w:r>
          </w:p>
        </w:tc>
        <w:tc>
          <w:tcPr/>
          <w:p>
            <w:pPr>
              <w:pStyle w:val="Compact"/>
              <w:jc w:val="left"/>
            </w:pPr>
            <w:r>
              <w:t xml:space="preserve">15,000</w:t>
            </w:r>
          </w:p>
        </w:tc>
        <w:tc>
          <w:tcPr/>
          <w:p>
            <w:pPr>
              <w:pStyle w:val="Compact"/>
              <w:jc w:val="left"/>
            </w:pPr>
            <w:r>
              <w:t xml:space="preserve">3,750,000.00</w:t>
            </w:r>
          </w:p>
        </w:tc>
        <w:tc>
          <w:tcPr/>
          <w:p>
            <w:pPr>
              <w:pStyle w:val="Compact"/>
              <w:jc w:val="left"/>
            </w:pPr>
            <w:r>
              <w:t xml:space="preserve">450,000.00</w:t>
            </w:r>
          </w:p>
        </w:tc>
      </w:tr>
      <w:tr>
        <w:tc>
          <w:tcPr/>
          <w:p>
            <w:pPr>
              <w:pStyle w:val="Compact"/>
              <w:jc w:val="left"/>
            </w:pPr>
            <w:r>
              <w:t xml:space="preserve">3</w:t>
            </w:r>
          </w:p>
        </w:tc>
        <w:tc>
          <w:tcPr/>
          <w:p>
            <w:pPr>
              <w:pStyle w:val="Compact"/>
              <w:jc w:val="left"/>
            </w:pPr>
            <w:r>
              <w:rPr>
                <w:bCs/>
                <w:b/>
              </w:rPr>
              <w:t xml:space="preserve">Structural &amp; MEP Coordination:</w:t>
            </w:r>
            <w:r>
              <w:t xml:space="preserve"> </w:t>
            </w:r>
            <w:r>
              <w:t xml:space="preserve">Collaborative review sessions with structural engineers and mechanical/electrical/plumbing specialists to ensure seamless integration of systems within the architectural envelope.</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1,440,000.00</w:t>
            </w:r>
          </w:p>
        </w:tc>
        <w:tc>
          <w:tcPr/>
          <w:p>
            <w:pPr>
              <w:pStyle w:val="Compact"/>
              <w:jc w:val="left"/>
            </w:pPr>
            <w:r>
              <w:t xml:space="preserve">172,800.00</w:t>
            </w:r>
          </w:p>
        </w:tc>
      </w:tr>
      <w:tr>
        <w:tc>
          <w:tcPr/>
          <w:p>
            <w:pPr>
              <w:pStyle w:val="Compact"/>
              <w:jc w:val="left"/>
            </w:pPr>
            <w:r>
              <w:t xml:space="preserve">4</w:t>
            </w:r>
          </w:p>
        </w:tc>
        <w:tc>
          <w:tcPr/>
          <w:p>
            <w:pPr>
              <w:pStyle w:val="Compact"/>
              <w:jc w:val="left"/>
            </w:pPr>
            <w:r>
              <w:rPr>
                <w:bCs/>
                <w:b/>
              </w:rPr>
              <w:t xml:space="preserve">Regulatory Compliance &amp; Permitting Support:</w:t>
            </w:r>
            <w:r>
              <w:t xml:space="preserve"> </w:t>
            </w:r>
            <w:r>
              <w:t xml:space="preserve">Preparation of documentation required for submission to the Almaty City Committee for Architecture and Urban Planning. Includes response to official queries.</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800,000.00</w:t>
            </w:r>
          </w:p>
        </w:tc>
        <w:tc>
          <w:tcPr/>
          <w:p>
            <w:pPr>
              <w:pStyle w:val="Compact"/>
              <w:jc w:val="left"/>
            </w:pPr>
            <w:r>
              <w:t xml:space="preserve">96,000.00</w:t>
            </w:r>
          </w:p>
        </w:tc>
      </w:tr>
      <w:tr>
        <w:tc>
          <w:tcPr/>
          <w:p>
            <w:pPr>
              <w:pStyle w:val="Compact"/>
              <w:jc w:val="left"/>
            </w:pPr>
            <w:r>
              <w:t xml:space="preserve">5</w:t>
            </w:r>
          </w:p>
        </w:tc>
        <w:tc>
          <w:tcPr/>
          <w:p>
            <w:pPr>
              <w:pStyle w:val="Compact"/>
              <w:jc w:val="left"/>
            </w:pPr>
            <w:r>
              <w:rPr>
                <w:bCs/>
                <w:b/>
              </w:rPr>
              <w:t xml:space="preserve">Sustainability Consultation:</w:t>
            </w:r>
            <w:r>
              <w:t xml:space="preserve"> </w:t>
            </w:r>
            <w:r>
              <w:t xml:space="preserve">Energy efficiency analysis and recommendation of green building materials suitable for the seismic and climatic conditions of Kazakhstan.</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660,000.00</w:t>
            </w:r>
          </w:p>
        </w:tc>
        <w:tc>
          <w:tcPr/>
          <w:p>
            <w:pPr>
              <w:pStyle w:val="Compact"/>
              <w:jc w:val="left"/>
            </w:pPr>
            <w:r>
              <w:t xml:space="preserve">79,200.00</w:t>
            </w:r>
          </w:p>
        </w:tc>
      </w:tr>
    </w:tbl>
    <w:p>
      <w:pPr>
        <w:pStyle w:val="BodyText"/>
      </w:pPr>
      <w:r>
        <w:t xml:space="preserve">Subtotal:</w:t>
      </w:r>
      <w:r>
        <w:t xml:space="preserve"> </w:t>
      </w:r>
      <w:r>
        <w:t xml:space="preserve">8,450,000.00 KZT</w:t>
      </w:r>
    </w:p>
    <w:p>
      <w:pPr>
        <w:pStyle w:val="BodyText"/>
      </w:pPr>
      <w:r>
        <w:t xml:space="preserve">VAT (12%):</w:t>
      </w:r>
      <w:r>
        <w:t xml:space="preserve"> </w:t>
      </w:r>
      <w:r>
        <w:t xml:space="preserve">1,014,000.00 KZT</w:t>
      </w:r>
    </w:p>
    <w:p>
      <w:pPr>
        <w:pStyle w:val="BodyText"/>
      </w:pPr>
      <w:r>
        <w:t xml:space="preserve">Total Due:</w:t>
      </w:r>
      <w:r>
        <w:t xml:space="preserve"> </w:t>
      </w:r>
      <w:r>
        <w:t xml:space="preserve">9,464,000.00 KZT</w:t>
      </w:r>
    </w:p>
    <w:bookmarkStart w:id="22" w:name="payment-instructions-terms"/>
    <w:p>
      <w:pPr>
        <w:pStyle w:val="Heading3"/>
      </w:pPr>
      <w:r>
        <w:t xml:space="preserve">Payment Instructions &amp; Terms:</w:t>
      </w:r>
    </w:p>
    <w:p>
      <w:pPr>
        <w:pStyle w:val="FirstParagraph"/>
      </w:pPr>
      <w:r>
        <w:t xml:space="preserve">Please remit payment within 30 days of the invoice date to avoid late fees. Payments should be made via bank transfer to the following account:</w:t>
      </w:r>
    </w:p>
    <w:p>
      <w:pPr>
        <w:pStyle w:val="BodyText"/>
      </w:pPr>
      <w:r>
        <w:rPr>
          <w:bCs/>
          <w:b/>
        </w:rPr>
        <w:t xml:space="preserve">Bank Name:</w:t>
      </w:r>
      <w:r>
        <w:t xml:space="preserve"> </w:t>
      </w:r>
      <w:r>
        <w:t xml:space="preserve">Halyk Bank JSC</w:t>
      </w:r>
      <w:r>
        <w:br/>
      </w:r>
      <w:r>
        <w:rPr>
          <w:bCs/>
          <w:b/>
        </w:rPr>
        <w:t xml:space="preserve">Account Name:</w:t>
      </w:r>
      <w:r>
        <w:t xml:space="preserve"> </w:t>
      </w:r>
      <w:r>
        <w:t xml:space="preserve">Almaty Horizon Architects LLP</w:t>
      </w:r>
      <w:r>
        <w:br/>
      </w:r>
      <w:r>
        <w:rPr>
          <w:bCs/>
          <w:b/>
        </w:rPr>
        <w:t xml:space="preserve">Account Number (IBAN):</w:t>
      </w:r>
      <w:r>
        <w:t xml:space="preserve"> </w:t>
      </w:r>
      <w:r>
        <w:t xml:space="preserve">KZ85125KZT5000000000</w:t>
      </w:r>
      <w:r>
        <w:br/>
      </w:r>
      <w:r>
        <w:rPr>
          <w:bCs/>
          <w:b/>
        </w:rPr>
        <w:t xml:space="preserve">BIC:</w:t>
      </w:r>
      <w:r>
        <w:t xml:space="preserve"> </w:t>
      </w:r>
      <w:r>
        <w:t xml:space="preserve">HLBBKZKA</w:t>
      </w:r>
      <w:r>
        <w:br/>
      </w:r>
      <w:r>
        <w:rPr>
          <w:bCs/>
          <w:b/>
        </w:rPr>
        <w:t xml:space="preserve">Reference:</w:t>
      </w:r>
      <w:r>
        <w:t xml:space="preserve"> </w:t>
      </w:r>
      <w:r>
        <w:t xml:space="preserve">INV-2023-ALM-045</w:t>
      </w:r>
    </w:p>
    <w:p>
      <w:pPr>
        <w:pStyle w:val="BodyText"/>
      </w:pPr>
      <w:r>
        <w:rPr>
          <w:bCs/>
          <w:b/>
        </w:rPr>
        <w:t xml:space="preserve">Important Notes:</w:t>
      </w:r>
    </w:p>
    <w:p>
      <w:pPr>
        <w:numPr>
          <w:ilvl w:val="0"/>
          <w:numId w:val="1001"/>
        </w:numPr>
        <w:pStyle w:val="Compact"/>
      </w:pPr>
      <w:r>
        <w:t xml:space="preserve">All services are rendered in accordance with the Architectural Services Agreement dated September 1, 2023.</w:t>
      </w:r>
    </w:p>
    <w:p>
      <w:pPr>
        <w:numPr>
          <w:ilvl w:val="0"/>
          <w:numId w:val="1001"/>
        </w:numPr>
        <w:pStyle w:val="Compact"/>
      </w:pPr>
      <w:r>
        <w:t xml:space="preserve">This invoice is issued in compliance with the Tax Code of the Republic of Kazakhstan.</w:t>
      </w:r>
    </w:p>
    <w:p>
      <w:pPr>
        <w:numPr>
          <w:ilvl w:val="0"/>
          <w:numId w:val="1001"/>
        </w:numPr>
        <w:pStyle w:val="Compact"/>
      </w:pPr>
      <w:r>
        <w:t xml:space="preserve">Late payments will incur a penalty of 0.1% per day on the outstanding balance.</w:t>
      </w:r>
    </w:p>
    <w:p>
      <w:pPr>
        <w:numPr>
          <w:ilvl w:val="0"/>
          <w:numId w:val="1001"/>
        </w:numPr>
        <w:pStyle w:val="Compact"/>
      </w:pPr>
      <w:r>
        <w:t xml:space="preserve">Any disputes regarding this invoice must be raised in writing within 14 days of receipt.</w:t>
      </w:r>
    </w:p>
    <w:bookmarkEnd w:id="22"/>
    <w:p>
      <w:pPr>
        <w:pStyle w:val="FirstParagraph"/>
      </w:pPr>
      <w:r>
        <w:t xml:space="preserve">We appreciate your continued trust in Almaty Horizon Architects LLP. Our team remains dedicated to ensuring that the "Alatau Heights" project becomes a landmark of architectural excellence in Almaty, Kazakhstan. Should you have any questions regarding this invoice or the services provided, please do not hesitate to contact our finance department directly.</w:t>
      </w:r>
    </w:p>
    <w:p>
      <w:pPr>
        <w:pStyle w:val="BodyText"/>
      </w:pPr>
      <w:r>
        <w:t xml:space="preserve">Authorized Signature</w:t>
      </w:r>
      <w:r>
        <w:br/>
      </w:r>
      <w:r>
        <w:rPr>
          <w:iCs/>
          <w:i/>
        </w:rPr>
        <w:t xml:space="preserve">For Almaty Horizon Architects LLP</w:t>
      </w:r>
    </w:p>
    <w:p>
      <w:pPr>
        <w:pStyle w:val="BodyText"/>
      </w:pPr>
      <w:r>
        <w:t xml:space="preserve">Received By</w:t>
      </w:r>
      <w:r>
        <w:br/>
      </w:r>
      <w:r>
        <w:rPr>
          <w:iCs/>
          <w:i/>
        </w:rPr>
        <w:t xml:space="preserve">Green Valley Development JSC</w:t>
      </w:r>
    </w:p>
    <w:p>
      <w:pPr>
        <w:pStyle w:val="BodyText"/>
      </w:pPr>
      <w:r>
        <w:t xml:space="preserve">Almaty Horizon Architects LLP | BIN: 123456789012 | Almaty, Kazakhstan</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Almaty, Kazakhstan</dc:title>
  <dc:creator/>
  <dc:language>en</dc:language>
  <cp:keywords/>
  <dcterms:created xsi:type="dcterms:W3CDTF">2026-10-10T02:34:38Z</dcterms:created>
  <dcterms:modified xsi:type="dcterms:W3CDTF">2026-10-10T02:34:38Z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