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Nairobi,</w:t>
      </w:r>
      <w:r>
        <w:t xml:space="preserve"> </w:t>
      </w:r>
      <w:r>
        <w:t xml:space="preserve">Kenya</w:t>
      </w:r>
    </w:p>
    <w:bookmarkStart w:id="20" w:name="savanna-structural-architects"/>
    <w:p>
      <w:pPr>
        <w:pStyle w:val="Heading1"/>
      </w:pPr>
      <w:r>
        <w:t xml:space="preserve">Savanna Structural Architects</w:t>
      </w:r>
    </w:p>
    <w:p>
      <w:pPr>
        <w:pStyle w:val="FirstParagraph"/>
      </w:pPr>
      <w:r>
        <w:rPr>
          <w:bCs/>
          <w:b/>
        </w:rPr>
        <w:t xml:space="preserve">Registered Architectural Firm in Kenya</w:t>
      </w:r>
    </w:p>
    <w:p>
      <w:pPr>
        <w:pStyle w:val="BodyText"/>
      </w:pPr>
      <w:r>
        <w:t xml:space="preserve">Plot 42, Muthaiga Road, Nairobi, Kenya</w:t>
      </w:r>
    </w:p>
    <w:p>
      <w:pPr>
        <w:pStyle w:val="BodyText"/>
      </w:pPr>
      <w:r>
        <w:t xml:space="preserve">P.O. Box 12345 - 00100, Nairobi</w:t>
      </w:r>
    </w:p>
    <w:p>
      <w:pPr>
        <w:pStyle w:val="BodyText"/>
      </w:pPr>
      <w:r>
        <w:t xml:space="preserve">Email: billing@savannastuctural.co.ke | Tel: +254 700 123 456</w:t>
      </w:r>
    </w:p>
    <w:p>
      <w:pPr>
        <w:pStyle w:val="BodyText"/>
      </w:pPr>
      <w:r>
        <w:t xml:space="preserve">KRA PIN: P001234567Z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INV-NAI-2023-089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Phase:</w:t>
      </w:r>
      <w:r>
        <w:t xml:space="preserve"> </w:t>
      </w:r>
      <w:r>
        <w:t xml:space="preserve">Design Development &amp; Documentation</w:t>
      </w:r>
    </w:p>
    <w:bookmarkEnd w:id="21"/>
    <w:bookmarkStart w:id="22" w:name="bill-to"/>
    <w:p>
      <w:pPr>
        <w:pStyle w:val="Heading3"/>
      </w:pPr>
      <w:r>
        <w:t xml:space="preserve">Bill To:</w:t>
      </w:r>
    </w:p>
    <w:p>
      <w:pPr>
        <w:pStyle w:val="FirstParagraph"/>
      </w:pPr>
      <w:r>
        <w:rPr>
          <w:bCs/>
          <w:b/>
        </w:rPr>
        <w:t xml:space="preserve">Mr. James Kamau</w:t>
      </w:r>
    </w:p>
    <w:p>
      <w:pPr>
        <w:pStyle w:val="BodyText"/>
      </w:pPr>
      <w:r>
        <w:t xml:space="preserve">Kamau Holdings Ltd.</w:t>
      </w:r>
    </w:p>
    <w:p>
      <w:pPr>
        <w:pStyle w:val="BodyText"/>
      </w:pPr>
      <w:r>
        <w:t xml:space="preserve">Westlands Business Park, 3rd Floor</w:t>
      </w:r>
    </w:p>
    <w:p>
      <w:pPr>
        <w:pStyle w:val="BodyText"/>
      </w:pPr>
      <w:r>
        <w:t xml:space="preserve">Upper Hill, Nairobi, Kenya</w:t>
      </w:r>
    </w:p>
    <w:p>
      <w:pPr>
        <w:pStyle w:val="BodyText"/>
      </w:pPr>
      <w:r>
        <w:t xml:space="preserve">KRA PIN: A123456789K</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The Nairobi Heights Residential Complex</w:t>
      </w:r>
    </w:p>
    <w:p>
      <w:pPr>
        <w:pStyle w:val="BodyText"/>
      </w:pPr>
      <w:r>
        <w:rPr>
          <w:bCs/>
          <w:b/>
        </w:rPr>
        <w:t xml:space="preserve">Site Location:</w:t>
      </w:r>
      <w:r>
        <w:t xml:space="preserve"> </w:t>
      </w:r>
      <w:r>
        <w:t xml:space="preserve">Karen, Nairobi, Kenya</w:t>
      </w:r>
    </w:p>
    <w:p>
      <w:pPr>
        <w:pStyle w:val="BodyText"/>
      </w:pPr>
      <w:r>
        <w:rPr>
          <w:bCs/>
          <w:b/>
        </w:rPr>
        <w:t xml:space="preserve">Reference:</w:t>
      </w:r>
      <w:r>
        <w:t xml:space="preserve"> </w:t>
      </w:r>
      <w:r>
        <w:t xml:space="preserve">Contract Agreement dated August 15, 2023</w:t>
      </w:r>
    </w:p>
    <w:p>
      <w:pPr>
        <w:pStyle w:val="BodyText"/>
      </w:pPr>
      <w:r>
        <w:rPr>
          <w:bCs/>
          <w:b/>
        </w:rPr>
        <w:t xml:space="preserve">Description:</w:t>
      </w:r>
      <w:r>
        <w:t xml:space="preserve"> </w:t>
      </w:r>
      <w:r>
        <w:t xml:space="preserve">Professional Architectural Services for a mixed-use development comprising 12 luxury apartments and ground-floor retail space, adhering to Nairobi City County regulations.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rPr>
                <w:bCs/>
                <w:b/>
              </w:rPr>
              <w:t xml:space="preserve">Site Analysis and Feasibility Study:</w:t>
            </w:r>
            <w:r>
              <w:t xml:space="preserve"> </w:t>
            </w:r>
            <w:r>
              <w:t xml:space="preserve">Comprehensive assessment of the Nairobi site topography, soil conditions, and environmental impact. This includes reviewing the Nairobi City County physical plan to ensure zoning compliance for the proposed residential complex.</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Conceptual Design Development:</w:t>
            </w:r>
            <w:r>
              <w:t xml:space="preserve"> </w:t>
            </w:r>
            <w:r>
              <w:t xml:space="preserve">Creation of initial architectural concepts, floor plans, and 3D visualizations. This phase involved multiple client consultation meetings in Nairobi to refine the aesthetic direction, ensuring the design reflects modern Kenyan architectural trends while maximizing natural light and ventilation.</w:t>
            </w:r>
          </w:p>
        </w:tc>
        <w:tc>
          <w:tcPr/>
          <w:p>
            <w:pPr>
              <w:pStyle w:val="Compact"/>
              <w:jc w:val="left"/>
            </w:pPr>
            <w:r>
              <w:t xml:space="preserve">60</w:t>
            </w:r>
          </w:p>
        </w:tc>
        <w:tc>
          <w:tcPr/>
          <w:p>
            <w:pPr>
              <w:pStyle w:val="Compact"/>
              <w:jc w:val="left"/>
            </w:pPr>
            <w:r>
              <w:t xml:space="preserve">5,000.00</w:t>
            </w:r>
          </w:p>
        </w:tc>
        <w:tc>
          <w:tcPr/>
          <w:p>
            <w:pPr>
              <w:pStyle w:val="Compact"/>
              <w:jc w:val="left"/>
            </w:pPr>
            <w:r>
              <w:t xml:space="preserve">300,000.00</w:t>
            </w:r>
          </w:p>
        </w:tc>
      </w:tr>
      <w:tr>
        <w:tc>
          <w:tcPr/>
          <w:p>
            <w:pPr>
              <w:pStyle w:val="Compact"/>
              <w:jc w:val="left"/>
            </w:pPr>
            <w:r>
              <w:t xml:space="preserve">3</w:t>
            </w:r>
          </w:p>
        </w:tc>
        <w:tc>
          <w:tcPr/>
          <w:p>
            <w:pPr>
              <w:pStyle w:val="Compact"/>
              <w:jc w:val="left"/>
            </w:pPr>
            <w:r>
              <w:rPr>
                <w:bCs/>
                <w:b/>
              </w:rPr>
              <w:t xml:space="preserve">Detailed Architectural Drawings:</w:t>
            </w:r>
            <w:r>
              <w:t xml:space="preserve"> </w:t>
            </w:r>
            <w:r>
              <w:t xml:space="preserve">Production of full-scale construction drawings, including elevations, sections, and detailed joinery plans. These documents are prepared in accordance with the National Building Code of Kenya and are ready for submission to the relevant authorities for building permit approval.</w:t>
            </w:r>
          </w:p>
        </w:tc>
        <w:tc>
          <w:tcPr/>
          <w:p>
            <w:pPr>
              <w:pStyle w:val="Compact"/>
              <w:jc w:val="left"/>
            </w:pPr>
            <w:r>
              <w:t xml:space="preserve">120</w:t>
            </w:r>
          </w:p>
        </w:tc>
        <w:tc>
          <w:tcPr/>
          <w:p>
            <w:pPr>
              <w:pStyle w:val="Compact"/>
              <w:jc w:val="left"/>
            </w:pPr>
            <w:r>
              <w:t xml:space="preserve">5,500.00</w:t>
            </w:r>
          </w:p>
        </w:tc>
        <w:tc>
          <w:tcPr/>
          <w:p>
            <w:pPr>
              <w:pStyle w:val="Compact"/>
              <w:jc w:val="left"/>
            </w:pPr>
            <w:r>
              <w:t xml:space="preserve">660,000.00</w:t>
            </w:r>
          </w:p>
        </w:tc>
      </w:tr>
      <w:tr>
        <w:tc>
          <w:tcPr/>
          <w:p>
            <w:pPr>
              <w:pStyle w:val="Compact"/>
              <w:jc w:val="left"/>
            </w:pPr>
            <w:r>
              <w:t xml:space="preserve">4</w:t>
            </w:r>
          </w:p>
        </w:tc>
        <w:tc>
          <w:tcPr/>
          <w:p>
            <w:pPr>
              <w:pStyle w:val="Compact"/>
              <w:jc w:val="left"/>
            </w:pPr>
            <w:r>
              <w:rPr>
                <w:bCs/>
                <w:b/>
              </w:rPr>
              <w:t xml:space="preserve">Regulatory Liaison and Permitting:</w:t>
            </w:r>
            <w:r>
              <w:t xml:space="preserve"> </w:t>
            </w:r>
            <w:r>
              <w:t xml:space="preserve">Professional representation and submission of documents to the Nairobi City County Government. This service covers the preparation of the Environmental Impact Assessment (EIA) outline and coordination with the Department of Urban Planning to secure the necessary building permits.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Interior Design Consultation:</w:t>
            </w:r>
            <w:r>
              <w:t xml:space="preserve"> </w:t>
            </w:r>
            <w:r>
              <w:t xml:space="preserve">Preliminary interior layout planning for the residential units, focusing on space optimization and material selection suitable for the Nairobi climate. Includes selection of sustainable building materials sourced locally within Kenya.</w:t>
            </w:r>
          </w:p>
        </w:tc>
        <w:tc>
          <w:tcPr/>
          <w:p>
            <w:pPr>
              <w:pStyle w:val="Compact"/>
              <w:jc w:val="left"/>
            </w:pPr>
            <w:r>
              <w:t xml:space="preserve">25</w:t>
            </w:r>
          </w:p>
        </w:tc>
        <w:tc>
          <w:tcPr/>
          <w:p>
            <w:pPr>
              <w:pStyle w:val="Compact"/>
              <w:jc w:val="left"/>
            </w:pPr>
            <w:r>
              <w:t xml:space="preserve">4,000.00</w:t>
            </w:r>
          </w:p>
        </w:tc>
        <w:tc>
          <w:tcPr/>
          <w:p>
            <w:pPr>
              <w:pStyle w:val="Compact"/>
              <w:jc w:val="left"/>
            </w:pPr>
            <w:r>
              <w:t xml:space="preserve">100,000.00</w:t>
            </w:r>
          </w:p>
        </w:tc>
      </w:tr>
    </w:tbl>
    <w:p>
      <w:pPr>
        <w:pStyle w:val="BodyText"/>
      </w:pPr>
      <w:r>
        <w:t xml:space="preserve">Subtotal:</w:t>
      </w:r>
      <w:r>
        <w:t xml:space="preserve"> </w:t>
      </w:r>
      <w:r>
        <w:t xml:space="preserve">KES 1,390,000.00</w:t>
      </w:r>
    </w:p>
    <w:p>
      <w:pPr>
        <w:pStyle w:val="BodyText"/>
      </w:pPr>
      <w:r>
        <w:t xml:space="preserve">VAT (16%):</w:t>
      </w:r>
      <w:r>
        <w:t xml:space="preserve"> </w:t>
      </w:r>
      <w:r>
        <w:t xml:space="preserve">KES 222,400.00</w:t>
      </w:r>
    </w:p>
    <w:p>
      <w:pPr>
        <w:pStyle w:val="BodyText"/>
      </w:pPr>
      <w:r>
        <w:t xml:space="preserve">Total Due:</w:t>
      </w:r>
      <w:r>
        <w:t xml:space="preserve"> </w:t>
      </w:r>
      <w:r>
        <w:t xml:space="preserve">KES 1,612,400.00</w:t>
      </w:r>
    </w:p>
    <w:p>
      <w:pPr>
        <w:pStyle w:val="BodyText"/>
      </w:pPr>
      <w:r>
        <w:rPr>
          <w:bCs/>
          <w:b/>
        </w:rPr>
        <w:t xml:space="preserve">Payment Instructions:</w:t>
      </w:r>
      <w:r>
        <w:br/>
      </w:r>
      <w:r>
        <w:t xml:space="preserve">Please make payment via M-Pesa or Bank Transfer to the following account:</w:t>
      </w:r>
      <w:r>
        <w:br/>
      </w:r>
      <w:r>
        <w:rPr>
          <w:bCs/>
          <w:b/>
        </w:rPr>
        <w:t xml:space="preserve">Bank:</w:t>
      </w:r>
      <w:r>
        <w:t xml:space="preserve"> </w:t>
      </w:r>
      <w:r>
        <w:t xml:space="preserve">Equity Bank Kenya</w:t>
      </w:r>
      <w:r>
        <w:br/>
      </w:r>
      <w:r>
        <w:rPr>
          <w:bCs/>
          <w:b/>
        </w:rPr>
        <w:t xml:space="preserve">Branch:</w:t>
      </w:r>
      <w:r>
        <w:t xml:space="preserve"> </w:t>
      </w:r>
      <w:r>
        <w:t xml:space="preserve">Westlands, Nairobi</w:t>
      </w:r>
      <w:r>
        <w:br/>
      </w:r>
      <w:r>
        <w:rPr>
          <w:bCs/>
          <w:b/>
        </w:rPr>
        <w:t xml:space="preserve">Account Name:</w:t>
      </w:r>
      <w:r>
        <w:t xml:space="preserve"> </w:t>
      </w:r>
      <w:r>
        <w:t xml:space="preserve">Savanna Structural Architects Ltd.</w:t>
      </w:r>
      <w:r>
        <w:br/>
      </w:r>
      <w:r>
        <w:rPr>
          <w:bCs/>
          <w:b/>
        </w:rPr>
        <w:t xml:space="preserve">Account Number:</w:t>
      </w:r>
      <w:r>
        <w:t xml:space="preserve"> </w:t>
      </w:r>
      <w:r>
        <w:t xml:space="preserve">0123456789</w:t>
      </w:r>
      <w:r>
        <w:br/>
      </w:r>
      <w:r>
        <w:rPr>
          <w:bCs/>
          <w:b/>
        </w:rPr>
        <w:t xml:space="preserve">M-Pesa Paybill:</w:t>
      </w:r>
      <w:r>
        <w:t xml:space="preserve"> </w:t>
      </w:r>
      <w:r>
        <w:t xml:space="preserve">522522 (Account: INV-089)</w:t>
      </w:r>
      <w:r>
        <w:br/>
      </w:r>
      <w:r>
        <w:rPr>
          <w:iCs/>
          <w:i/>
        </w:rPr>
        <w:t xml:space="preserve">Note: Please quote the Invoice Number as the payment reference.</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14 days of the invoice date. Late payments will incur an interest charge of 2% per month.</w:t>
      </w:r>
    </w:p>
    <w:p>
      <w:pPr>
        <w:numPr>
          <w:ilvl w:val="0"/>
          <w:numId w:val="1001"/>
        </w:numPr>
        <w:pStyle w:val="Compact"/>
      </w:pPr>
      <w:r>
        <w:rPr>
          <w:bCs/>
          <w:b/>
        </w:rPr>
        <w:t xml:space="preserve">Scope of Work:</w:t>
      </w:r>
      <w:r>
        <w:t xml:space="preserve"> </w:t>
      </w:r>
      <w:r>
        <w:t xml:space="preserve">This invoice covers the architectural services outlined above. Any additional services requested by the client outside this scope will be billed separately at the agreed hourly rate.</w:t>
      </w:r>
    </w:p>
    <w:p>
      <w:pPr>
        <w:numPr>
          <w:ilvl w:val="0"/>
          <w:numId w:val="1001"/>
        </w:numPr>
        <w:pStyle w:val="Compact"/>
      </w:pPr>
      <w:r>
        <w:rPr>
          <w:bCs/>
          <w:b/>
        </w:rPr>
        <w:t xml:space="preserve">Regulatory Compliance:</w:t>
      </w:r>
      <w:r>
        <w:t xml:space="preserve"> </w:t>
      </w:r>
      <w:r>
        <w:t xml:space="preserve">All designs are prepared in compliance with the Architects and Quantity Surveyors Act of Kenya and the Nairobi City County regulations.</w:t>
      </w:r>
    </w:p>
    <w:p>
      <w:pPr>
        <w:numPr>
          <w:ilvl w:val="0"/>
          <w:numId w:val="1001"/>
        </w:numPr>
        <w:pStyle w:val="Compact"/>
      </w:pPr>
      <w:r>
        <w:rPr>
          <w:bCs/>
          <w:b/>
        </w:rPr>
        <w:t xml:space="preserve">Intellectual Property:</w:t>
      </w:r>
      <w:r>
        <w:t xml:space="preserve"> </w:t>
      </w:r>
      <w:r>
        <w:t xml:space="preserve">All architectural drawings and designs remain the intellectual property of Savanna Structural Architects until full payment is received.</w:t>
      </w:r>
    </w:p>
    <w:p>
      <w:pPr>
        <w:numPr>
          <w:ilvl w:val="0"/>
          <w:numId w:val="1001"/>
        </w:numPr>
        <w:pStyle w:val="Compact"/>
      </w:pPr>
      <w:r>
        <w:rPr>
          <w:bCs/>
          <w:b/>
        </w:rPr>
        <w:t xml:space="preserve">Dispute Resolution:</w:t>
      </w:r>
      <w:r>
        <w:t xml:space="preserve"> </w:t>
      </w:r>
      <w:r>
        <w:t xml:space="preserve">Any disputes arising from this invoice shall be resolved through arbitration in Nairobi, Kenya, in accordance with the Arbitration Act.</w:t>
      </w:r>
    </w:p>
    <w:bookmarkEnd w:id="24"/>
    <w:p>
      <w:pPr>
        <w:pStyle w:val="FirstParagraph"/>
      </w:pPr>
      <w:r>
        <w:t xml:space="preserve">Thank you for choosing Savanna Structural Architects for your project in Nairobi, Kenya.</w:t>
      </w:r>
    </w:p>
    <w:p>
      <w:pPr>
        <w:pStyle w:val="BodyText"/>
      </w:pPr>
      <w:r>
        <w:t xml:space="preserve">This is a computer-generated invoice and does not require a signature.</w:t>
      </w:r>
    </w:p>
    <w:p>
      <w:pPr>
        <w:pStyle w:val="BodyText"/>
      </w:pPr>
      <w:r>
        <w:t xml:space="preserve">© 2023 Savanna Structural Architects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Nairobi, Kenya</dc:title>
  <dc:creator/>
  <dc:language>en</dc:language>
  <cp:keywords/>
  <dcterms:created xsi:type="dcterms:W3CDTF">2026-10-10T06:21:46Z</dcterms:created>
  <dcterms:modified xsi:type="dcterms:W3CDTF">2026-10-10T06:21:46Z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