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apex-architectural-studio"/>
    <w:p>
      <w:pPr>
        <w:pStyle w:val="Heading1"/>
      </w:pPr>
      <w:r>
        <w:t xml:space="preserve">Apex Architectural Studio</w:t>
      </w:r>
    </w:p>
    <w:p>
      <w:pPr>
        <w:pStyle w:val="FirstParagraph"/>
      </w:pPr>
      <w:r>
        <w:t xml:space="preserve">Professional Architectural Design &amp; Consultancy</w:t>
      </w:r>
    </w:p>
    <w:p>
      <w:pPr>
        <w:pStyle w:val="BodyText"/>
      </w:pPr>
      <w:r>
        <w:t xml:space="preserve">Office 402, Al Hamra Tower, Block 3, Street 1504</w:t>
      </w:r>
    </w:p>
    <w:p>
      <w:pPr>
        <w:pStyle w:val="BodyText"/>
      </w:pPr>
      <w:r>
        <w:t xml:space="preserve">Al Hamra District,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Kuwait</w:t>
      </w:r>
    </w:p>
    <w:p>
      <w:pPr>
        <w:pStyle w:val="BodyText"/>
      </w:pPr>
      <w:r>
        <w:t xml:space="preserve">Tax Registration Number: 123456789012345</w:t>
      </w:r>
    </w:p>
    <w:p>
      <w:pPr>
        <w:pStyle w:val="BodyText"/>
      </w:pPr>
      <w:r>
        <w:t xml:space="preserve">Email: billing@apexarchitects-kw.com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Al-Rai Residential Complex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Al-Nakheel Real Estate Development Co.</w:t>
      </w:r>
    </w:p>
    <w:p>
      <w:pPr>
        <w:pStyle w:val="BodyText"/>
      </w:pPr>
      <w:r>
        <w:t xml:space="preserve">Headquarters, 4th Floor, Building 12</w:t>
      </w:r>
    </w:p>
    <w:p>
      <w:pPr>
        <w:pStyle w:val="BodyText"/>
      </w:pPr>
      <w:r>
        <w:t xml:space="preserve">Wafra Street,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Kuwait</w:t>
      </w:r>
    </w:p>
    <w:p>
      <w:pPr>
        <w:pStyle w:val="BodyText"/>
      </w:pPr>
      <w:r>
        <w:t xml:space="preserve">Commercial Registration: 123456</w:t>
      </w:r>
    </w:p>
    <w:p>
      <w:pPr>
        <w:pStyle w:val="BodyText"/>
      </w:pPr>
      <w:r>
        <w:t xml:space="preserve">Attn: Mr. Ahmed Al-Fahad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Plot No. 45, Block 7</w:t>
      </w:r>
    </w:p>
    <w:p>
      <w:pPr>
        <w:pStyle w:val="BodyText"/>
      </w:pPr>
      <w:r>
        <w:t xml:space="preserve">Al-Rai District,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Kuwait</w:t>
      </w:r>
    </w:p>
    <w:p>
      <w:pPr>
        <w:pStyle w:val="BodyText"/>
      </w:pPr>
      <w:r>
        <w:rPr>
          <w:bCs/>
          <w:b/>
        </w:rPr>
        <w:t xml:space="preserve">Architect in Charge:</w:t>
      </w:r>
      <w:r>
        <w:t xml:space="preserve"> </w:t>
      </w:r>
      <w:r>
        <w:t xml:space="preserve">Sarah Al-Mutairi, RIBA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KEC-ARCH-9988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Conceptual Design &amp; Feasibility Study</w:t>
            </w:r>
            <w:r>
              <w:br/>
            </w:r>
            <w:r>
              <w:t xml:space="preserve">Development of initial architectural concepts tailored to the climate and urban fabric of</w:t>
            </w:r>
            <w:r>
              <w:t xml:space="preserve"> </w:t>
            </w:r>
            <w:r>
              <w:rPr>
                <w:bCs/>
                <w:b/>
              </w:rPr>
              <w:t xml:space="preserve">Kuwait City</w:t>
            </w:r>
            <w:r>
              <w:t xml:space="preserve">. Includes site analysis, zoning compliance checks with the Municipality of Kuwait, and three distinct design proposals for the residential complex.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Schematic Design &amp; 3D Visualization</w:t>
            </w:r>
            <w:r>
              <w:br/>
            </w:r>
            <w:r>
              <w:t xml:space="preserve">Refinement of the selected concept. Creation of detailed floor plans, elevations, and sections. Production of high-fidelity 3D renderings and virtual walkthroughs to assist the client in visualizing the final structure within the</w:t>
            </w:r>
            <w:r>
              <w:t xml:space="preserve"> </w:t>
            </w:r>
            <w:r>
              <w:rPr>
                <w:bCs/>
                <w:b/>
              </w:rPr>
              <w:t xml:space="preserve">Kuwait City</w:t>
            </w:r>
            <w:r>
              <w:t xml:space="preserve"> </w:t>
            </w:r>
            <w:r>
              <w:t xml:space="preserve">skyline.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Design Development &amp; Technical Drawings</w:t>
            </w:r>
            <w:r>
              <w:br/>
            </w:r>
            <w:r>
              <w:t xml:space="preserve">Preparation of comprehensive architectural drawings required for municipal approval. Coordination with structural and MEP consultants to ensure the design meets the strict building codes and safety regulations enforced in Kuwait.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Construction Documentation</w:t>
            </w:r>
            <w:r>
              <w:br/>
            </w:r>
            <w:r>
              <w:t xml:space="preserve">Finalization of all technical specifications, material schedules, and detailed construction drawings. This package serves as the legal and technical basis for the construction contract and bidding process in</w:t>
            </w:r>
            <w:r>
              <w:t xml:space="preserve"> </w:t>
            </w:r>
            <w:r>
              <w:rPr>
                <w:bCs/>
                <w:b/>
              </w:rPr>
              <w:t xml:space="preserve">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5: Municipal Submission &amp; Permitting Assistance</w:t>
            </w:r>
            <w:r>
              <w:br/>
            </w:r>
            <w:r>
              <w:t xml:space="preserve">Management of the submission process to the Kuwait Municipality and Public Authority for Housing Welfare. Includes responding to official comments and revisions to secure the necessary building permits.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Control (Monthly Retainer)</w:t>
            </w:r>
            <w:r>
              <w:br/>
            </w:r>
            <w:r>
              <w:t xml:space="preserve">On-site architectural supervision during the initial construction phase. Ensuring the contractor adheres to the approved architectural plans and material standards specific to the project in</w:t>
            </w:r>
            <w:r>
              <w:t xml:space="preserve"> </w:t>
            </w:r>
            <w:r>
              <w:rPr>
                <w:bCs/>
                <w:b/>
              </w:rPr>
              <w:t xml:space="preserve">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13,140.00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657.00 KWD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-200.00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13,597.00 KWD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Kuwaiti Dinar (KWD).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incur a penalty of 1% per month.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Bank Transfer Details:</w:t>
      </w:r>
      <w:r>
        <w:br/>
      </w:r>
      <w:r>
        <w:t xml:space="preserve">    Bank Name: National Bank of Kuwait (NBK)</w:t>
      </w:r>
      <w:r>
        <w:br/>
      </w:r>
      <w:r>
        <w:t xml:space="preserve">    Account Name: Apex Architectural Studio W.L.L.</w:t>
      </w:r>
      <w:r>
        <w:br/>
      </w:r>
      <w:r>
        <w:t xml:space="preserve">    IBAN: KW12NBOK0000000000001234567890</w:t>
      </w:r>
      <w:r>
        <w:br/>
      </w:r>
      <w:r>
        <w:t xml:space="preserve">    SWIFT Code: NBOKKWKW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architectural services rendered by our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team for the specified project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Any changes to the scope must be agreed upon in writing via a Change Order.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designs and services provided comply with the current regulations of the Kuwait Municipality and the Public Authority for Civil Works.</w:t>
      </w:r>
      <w:r>
        <w:br/>
      </w:r>
      <w:r>
        <w:t xml:space="preserve">6.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associated services shall be settled in accordance with the laws of the State of Kuwait.</w:t>
      </w:r>
    </w:p>
    <w:bookmarkEnd w:id="24"/>
    <w:p>
      <w:pPr>
        <w:pStyle w:val="BodyText"/>
      </w:pPr>
      <w:r>
        <w:t xml:space="preserve">Thank you for choosing Apex Architectural Studio for your project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signature.</w:t>
      </w:r>
    </w:p>
    <w:p>
      <w:pPr>
        <w:pStyle w:val="BodyText"/>
      </w:pPr>
      <w:r>
        <w:t xml:space="preserve">© 2023 Apex Architectural Studio.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Kuwait City</dc:title>
  <dc:creator/>
  <dc:language>en</dc:language>
  <cp:keywords/>
  <dcterms:created xsi:type="dcterms:W3CDTF">2026-10-10T05:05:53Z</dcterms:created>
  <dcterms:modified xsi:type="dcterms:W3CDTF">2026-10-10T05:05:53Z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