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skyline-architectural-studio"/>
    <w:p>
      <w:pPr>
        <w:pStyle w:val="Heading1"/>
      </w:pPr>
      <w:r>
        <w:t xml:space="preserve">Skyline Architectural Studio</w:t>
      </w:r>
    </w:p>
    <w:p>
      <w:pPr>
        <w:pStyle w:val="FirstParagraph"/>
      </w:pPr>
      <w:r>
        <w:rPr>
          <w:bCs/>
          <w:b/>
        </w:rPr>
        <w:t xml:space="preserve">Registered Architectural Firm</w:t>
      </w:r>
    </w:p>
    <w:p>
      <w:pPr>
        <w:pStyle w:val="BodyText"/>
      </w:pPr>
      <w:r>
        <w:t xml:space="preserve">Lot 12, Level 15, Menara KLCC, Jalan Ampang</w:t>
      </w:r>
    </w:p>
    <w:p>
      <w:pPr>
        <w:pStyle w:val="BodyText"/>
      </w:pPr>
      <w:r>
        <w:t xml:space="preserve">50450 Kuala Lumpur, Malaysia</w:t>
      </w:r>
    </w:p>
    <w:p>
      <w:pPr>
        <w:pStyle w:val="BodyText"/>
      </w:pPr>
      <w:r>
        <w:t xml:space="preserve">Tel: +603-2188-XXXX | Email: billing@skylinearch.my</w:t>
      </w:r>
    </w:p>
    <w:p>
      <w:pPr>
        <w:pStyle w:val="BodyText"/>
      </w:pPr>
      <w:r>
        <w:t xml:space="preserve">Company Reg No: 201501012345 (1234567-K)</w:t>
      </w:r>
    </w:p>
    <w:p>
      <w:pPr>
        <w:pStyle w:val="BodyText"/>
      </w:pPr>
      <w:r>
        <w:t xml:space="preserve">Board of Architects Malaysia Reg No: A12345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INV-KL-2023-089</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PJ-RES-TRX-04</w:t>
      </w:r>
    </w:p>
    <w:bookmarkEnd w:id="21"/>
    <w:bookmarkStart w:id="22" w:name="bill-to"/>
    <w:p>
      <w:pPr>
        <w:pStyle w:val="Heading3"/>
      </w:pPr>
      <w:r>
        <w:t xml:space="preserve">Bill To:</w:t>
      </w:r>
    </w:p>
    <w:p>
      <w:pPr>
        <w:pStyle w:val="FirstParagraph"/>
      </w:pPr>
      <w:r>
        <w:rPr>
          <w:bCs/>
          <w:b/>
        </w:rPr>
        <w:t xml:space="preserve">Horizon Development Sdn Bhd</w:t>
      </w:r>
    </w:p>
    <w:p>
      <w:pPr>
        <w:pStyle w:val="BodyText"/>
      </w:pPr>
      <w:r>
        <w:t xml:space="preserve">Level 8, Tower B, The Gardens Mall</w:t>
      </w:r>
    </w:p>
    <w:p>
      <w:pPr>
        <w:pStyle w:val="BodyText"/>
      </w:pPr>
      <w:r>
        <w:t xml:space="preserve">Lingkaran Syed Putra, 59200 Kuala Lumpur, Malaysia</w:t>
      </w:r>
    </w:p>
    <w:p>
      <w:pPr>
        <w:pStyle w:val="BodyText"/>
      </w:pPr>
      <w:r>
        <w:t xml:space="preserve">Attn: Mr. Tan Wei Loon (Project Director)</w:t>
      </w:r>
    </w:p>
    <w:p>
      <w:pPr>
        <w:pStyle w:val="BodyText"/>
      </w:pPr>
      <w:r>
        <w:t xml:space="preserve">Project Site: Luxury Condominium Development, Tun Razak Exchange (TRX), Kuala Lumpur</w:t>
      </w:r>
    </w:p>
    <w:bookmarkEnd w:id="22"/>
    <w:p>
      <w:pPr>
        <w:pStyle w:val="BodyText"/>
      </w:pPr>
      <w:r>
        <w:t xml:space="preserve">Dear Mr. Tan,</w:t>
      </w:r>
      <w:r>
        <w:br/>
      </w:r>
      <w:r>
        <w:br/>
      </w:r>
      <w:r>
        <w:t xml:space="preserve">Please find attached the formal</w:t>
      </w:r>
      <w:r>
        <w:t xml:space="preserve"> </w:t>
      </w:r>
      <w:r>
        <w:rPr>
          <w:bCs/>
          <w:b/>
        </w:rPr>
        <w:t xml:space="preserve">Invoice</w:t>
      </w:r>
      <w:r>
        <w:t xml:space="preserve"> </w:t>
      </w:r>
      <w:r>
        <w:t xml:space="preserve">for professional architectural services rendered by Skyline Architectural Studio regarding the above-mentioned project. As a premier</w:t>
      </w:r>
      <w:r>
        <w:t xml:space="preserve"> </w:t>
      </w:r>
      <w:r>
        <w:rPr>
          <w:bCs/>
          <w:b/>
        </w:rPr>
        <w:t xml:space="preserve">Architect</w:t>
      </w:r>
      <w:r>
        <w:t xml:space="preserve"> </w:t>
      </w:r>
      <w:r>
        <w:t xml:space="preserve">firm operating within the dynamic landscape of</w:t>
      </w:r>
      <w:r>
        <w:t xml:space="preserve"> </w:t>
      </w:r>
      <w:r>
        <w:rPr>
          <w:bCs/>
          <w:b/>
        </w:rPr>
        <w:t xml:space="preserve">Malaysia Kuala Lumpur</w:t>
      </w:r>
      <w:r>
        <w:t xml:space="preserve">, we are committed to delivering design excellence that aligns with the local building codes, aesthetic requirements, and sustainability standards of the Federal Territory. This document details the fees associated with the completion of the Design Development Phase and the submission of plans to the Kuala Lumpur City Hall (DBKL).</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Rate / Hours</w:t>
            </w:r>
          </w:p>
        </w:tc>
        <w:tc>
          <w:tcPr/>
          <w:p>
            <w:pPr>
              <w:pStyle w:val="Compact"/>
              <w:jc w:val="left"/>
            </w:pPr>
            <w:r>
              <w:t xml:space="preserve">Quantity</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Design Development &amp; Concept Refinement</w:t>
            </w:r>
            <w:r>
              <w:br/>
            </w:r>
            <w:r>
              <w:t xml:space="preserve">Comprehensive refinement of the architectural concept for the TRX residential tower. This includes the development of 3D massing models, facade articulation studies, and interior layout optimization to maximize unit efficiency in accordance with the Kuala Lumpur City Plan 2020.</w:t>
            </w:r>
          </w:p>
        </w:tc>
        <w:tc>
          <w:tcPr/>
          <w:p>
            <w:pPr>
              <w:pStyle w:val="Compact"/>
              <w:jc w:val="left"/>
            </w:pPr>
            <w:r>
              <w:t xml:space="preserve">Fixed Fee</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DBKL Submission Drawings Preparation</w:t>
            </w:r>
            <w:r>
              <w:br/>
            </w:r>
            <w:r>
              <w:t xml:space="preserve">Preparation of detailed architectural drawings required for the planning permission application to the Department of City and Country Planning (PLAN) and Kuala Lumpur City Hall (DBKL). Includes site plans, floor plans, elevations, and sections compliant with the Uniform Building By-Laws (UBBL) 1984.</w:t>
            </w:r>
          </w:p>
        </w:tc>
        <w:tc>
          <w:tcPr/>
          <w:p>
            <w:pPr>
              <w:pStyle w:val="Compact"/>
              <w:jc w:val="left"/>
            </w:pPr>
            <w:r>
              <w:t xml:space="preserve">Fixed Fee</w:t>
            </w:r>
          </w:p>
        </w:tc>
        <w:tc>
          <w:tcPr/>
          <w:p>
            <w:pPr>
              <w:pStyle w:val="Compact"/>
              <w:jc w:val="left"/>
            </w:pPr>
            <w:r>
              <w:t xml:space="preserve">1</w:t>
            </w:r>
          </w:p>
        </w:tc>
        <w:tc>
          <w:tcPr/>
          <w:p>
            <w:pPr>
              <w:pStyle w:val="Compact"/>
              <w:jc w:val="left"/>
            </w:pPr>
            <w:r>
              <w:t xml:space="preserve">32,500.00</w:t>
            </w:r>
          </w:p>
        </w:tc>
      </w:tr>
      <w:tr>
        <w:tc>
          <w:tcPr/>
          <w:p>
            <w:pPr>
              <w:pStyle w:val="Compact"/>
              <w:jc w:val="left"/>
            </w:pPr>
            <w:r>
              <w:t xml:space="preserve">3</w:t>
            </w:r>
          </w:p>
        </w:tc>
        <w:tc>
          <w:tcPr/>
          <w:p>
            <w:pPr>
              <w:pStyle w:val="Compact"/>
              <w:jc w:val="left"/>
            </w:pPr>
            <w:r>
              <w:rPr>
                <w:bCs/>
                <w:b/>
              </w:rPr>
              <w:t xml:space="preserve">Green Building Index (GBI) Consultation</w:t>
            </w:r>
            <w:r>
              <w:br/>
            </w:r>
            <w:r>
              <w:t xml:space="preserve">Preliminary assessment and integration of sustainable design strategies to achieve GBI Silver certification. This service ensures the project meets the environmental standards expected of modern developments in Kuala Lumpur.</w:t>
            </w:r>
          </w:p>
        </w:tc>
        <w:tc>
          <w:tcPr/>
          <w:p>
            <w:pPr>
              <w:pStyle w:val="Compact"/>
              <w:jc w:val="left"/>
            </w:pPr>
            <w:r>
              <w:t xml:space="preserve">Hourly</w:t>
            </w:r>
          </w:p>
        </w:tc>
        <w:tc>
          <w:tcPr/>
          <w:p>
            <w:pPr>
              <w:pStyle w:val="Compact"/>
              <w:jc w:val="left"/>
            </w:pPr>
            <w:r>
              <w:t xml:space="preserve">40 Hours</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Coordination with Structural &amp; MEP Consultants</w:t>
            </w:r>
            <w:r>
              <w:br/>
            </w:r>
            <w:r>
              <w:t xml:space="preserve">Facilitating technical coordination meetings with local engineering firms to ensure the architectural design is structurally viable and integrates seamlessly with Mechanical, Electrical, and Plumbing systems within the Kuala Lumpur infrastructure context.</w:t>
            </w:r>
          </w:p>
        </w:tc>
        <w:tc>
          <w:tcPr/>
          <w:p>
            <w:pPr>
              <w:pStyle w:val="Compact"/>
              <w:jc w:val="left"/>
            </w:pPr>
            <w:r>
              <w:t xml:space="preserve">Hourly</w:t>
            </w:r>
          </w:p>
        </w:tc>
        <w:tc>
          <w:tcPr/>
          <w:p>
            <w:pPr>
              <w:pStyle w:val="Compact"/>
              <w:jc w:val="left"/>
            </w:pPr>
            <w:r>
              <w:t xml:space="preserve">25 Hours</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Client Presentation &amp; Visualization</w:t>
            </w:r>
            <w:r>
              <w:br/>
            </w:r>
            <w:r>
              <w:t xml:space="preserve">Production of high-fidelity photorealistic renderings and a virtual walkthrough for stakeholder approval. This visual aid is crucial for marketing the development within the competitive Kuala Lumpur property market.</w:t>
            </w:r>
          </w:p>
        </w:tc>
        <w:tc>
          <w:tcPr/>
          <w:p>
            <w:pPr>
              <w:pStyle w:val="Compact"/>
              <w:jc w:val="left"/>
            </w:pPr>
            <w:r>
              <w:t xml:space="preserve">Fixed Fee</w:t>
            </w:r>
          </w:p>
        </w:tc>
        <w:tc>
          <w:tcPr/>
          <w:p>
            <w:pPr>
              <w:pStyle w:val="Compact"/>
              <w:jc w:val="left"/>
            </w:pPr>
            <w:r>
              <w:t xml:space="preserve">1</w:t>
            </w:r>
          </w:p>
        </w:tc>
        <w:tc>
          <w:tcPr/>
          <w:p>
            <w:pPr>
              <w:pStyle w:val="Compact"/>
              <w:jc w:val="left"/>
            </w:pPr>
            <w:r>
              <w:t xml:space="preserve">12,000.00</w:t>
            </w:r>
          </w:p>
        </w:tc>
      </w:tr>
    </w:tbl>
    <w:p>
      <w:pPr>
        <w:pStyle w:val="BodyText"/>
      </w:pPr>
      <w:r>
        <w:t xml:space="preserve">Subtotal:</w:t>
      </w:r>
      <w:r>
        <w:t xml:space="preserve"> </w:t>
      </w:r>
      <w:r>
        <w:t xml:space="preserve">RM 102,500.00</w:t>
      </w:r>
    </w:p>
    <w:p>
      <w:pPr>
        <w:pStyle w:val="BodyText"/>
      </w:pPr>
      <w:r>
        <w:t xml:space="preserve">Service Tax (6%):</w:t>
      </w:r>
      <w:r>
        <w:t xml:space="preserve"> </w:t>
      </w:r>
      <w:r>
        <w:t xml:space="preserve">RM 6,150.00</w:t>
      </w:r>
    </w:p>
    <w:p>
      <w:pPr>
        <w:pStyle w:val="BodyText"/>
      </w:pPr>
      <w:r>
        <w:t xml:space="preserve">TOTAL DUE (MYR):</w:t>
      </w:r>
      <w:r>
        <w:t xml:space="preserve"> </w:t>
      </w:r>
      <w:r>
        <w:t xml:space="preserve">RM 108,650.00</w:t>
      </w:r>
    </w:p>
    <w:p>
      <w:pPr>
        <w:pStyle w:val="BodyText"/>
      </w:pPr>
      <w:r>
        <w:t xml:space="preserve">Amount in words: Ringgit Malaysia One Hundred and Eight Thousand Six Hundred and Fifty Only.</w:t>
      </w:r>
    </w:p>
    <w:bookmarkStart w:id="23" w:name="payment-instructions"/>
    <w:p>
      <w:pPr>
        <w:pStyle w:val="Heading4"/>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 Name:</w:t>
      </w:r>
      <w:r>
        <w:t xml:space="preserve"> </w:t>
      </w:r>
      <w:r>
        <w:t xml:space="preserve">Maybank Berhad</w:t>
      </w:r>
    </w:p>
    <w:p>
      <w:pPr>
        <w:pStyle w:val="BodyText"/>
      </w:pPr>
      <w:r>
        <w:rPr>
          <w:bCs/>
          <w:b/>
        </w:rPr>
        <w:t xml:space="preserve">Account Name:</w:t>
      </w:r>
      <w:r>
        <w:t xml:space="preserve"> </w:t>
      </w:r>
      <w:r>
        <w:t xml:space="preserve">Skyline Architectural Studio Sdn Bhd</w:t>
      </w:r>
    </w:p>
    <w:p>
      <w:pPr>
        <w:pStyle w:val="BodyText"/>
      </w:pPr>
      <w:r>
        <w:rPr>
          <w:bCs/>
          <w:b/>
        </w:rPr>
        <w:t xml:space="preserve">Account Number:</w:t>
      </w:r>
      <w:r>
        <w:t xml:space="preserve"> </w:t>
      </w:r>
      <w:r>
        <w:t xml:space="preserve">5643 2109 8765</w:t>
      </w:r>
    </w:p>
    <w:p>
      <w:pPr>
        <w:pStyle w:val="BodyText"/>
      </w:pPr>
      <w:r>
        <w:rPr>
          <w:bCs/>
          <w:b/>
        </w:rPr>
        <w:t xml:space="preserve">Branch:</w:t>
      </w:r>
      <w:r>
        <w:t xml:space="preserve"> </w:t>
      </w:r>
      <w:r>
        <w:t xml:space="preserve">Kuala Lumpur City Centre</w:t>
      </w:r>
    </w:p>
    <w:p>
      <w:pPr>
        <w:pStyle w:val="BodyText"/>
      </w:pPr>
      <w:r>
        <w:rPr>
          <w:bCs/>
          <w:b/>
        </w:rPr>
        <w:t xml:space="preserve">Reference:</w:t>
      </w:r>
      <w:r>
        <w:t xml:space="preserve"> </w:t>
      </w:r>
      <w:r>
        <w:t xml:space="preserve">INV-KL-2023-089</w:t>
      </w:r>
    </w:p>
    <w:bookmarkEnd w:id="23"/>
    <w:bookmarkStart w:id="24" w:name="terms-and-conditions-of-service"/>
    <w:p>
      <w:pPr>
        <w:pStyle w:val="Heading4"/>
      </w:pPr>
      <w:r>
        <w:t xml:space="preserve">Terms and Conditions of Service</w:t>
      </w:r>
    </w:p>
    <w:p>
      <w:pPr>
        <w:numPr>
          <w:ilvl w:val="0"/>
          <w:numId w:val="1001"/>
        </w:numPr>
        <w:pStyle w:val="Compact"/>
      </w:pPr>
      <w:r>
        <w:rPr>
          <w:bCs/>
          <w:b/>
        </w:rPr>
        <w:t xml:space="preserve">Jurisdiction:</w:t>
      </w:r>
      <w:r>
        <w:t xml:space="preserve"> </w:t>
      </w:r>
      <w:r>
        <w:t xml:space="preserve">This</w:t>
      </w:r>
      <w:r>
        <w:t xml:space="preserve"> </w:t>
      </w:r>
      <w:r>
        <w:rPr>
          <w:bCs/>
          <w:b/>
        </w:rPr>
        <w:t xml:space="preserve">Invoice</w:t>
      </w:r>
      <w:r>
        <w:t xml:space="preserve"> </w:t>
      </w:r>
      <w:r>
        <w:t xml:space="preserve">and the associated architectural services are governed by the laws of Malaysia. Any disputes arising from this agreement shall be subject to the exclusive jurisdiction of the courts of Kuala Lumpur.</w:t>
      </w:r>
    </w:p>
    <w:p>
      <w:pPr>
        <w:numPr>
          <w:ilvl w:val="0"/>
          <w:numId w:val="1001"/>
        </w:numPr>
        <w:pStyle w:val="Compact"/>
      </w:pPr>
      <w:r>
        <w:rPr>
          <w:bCs/>
          <w:b/>
        </w:rPr>
        <w:t xml:space="preserve">Payment Terms:</w:t>
      </w:r>
      <w:r>
        <w:t xml:space="preserve"> </w:t>
      </w:r>
      <w:r>
        <w:t xml:space="preserve">Payment is due within 30 days from the date of issue. Late payments will incur an interest charge of 1.5% per month on the outstanding balance, in accordance with standard commercial practices in Malaysia.</w:t>
      </w:r>
    </w:p>
    <w:p>
      <w:pPr>
        <w:numPr>
          <w:ilvl w:val="0"/>
          <w:numId w:val="1001"/>
        </w:numPr>
        <w:pStyle w:val="Compact"/>
      </w:pPr>
      <w:r>
        <w:rPr>
          <w:bCs/>
          <w:b/>
        </w:rPr>
        <w:t xml:space="preserve">Scope of Work:</w:t>
      </w:r>
      <w:r>
        <w:t xml:space="preserve"> </w:t>
      </w:r>
      <w:r>
        <w:t xml:space="preserve">The fees quoted cover the specific architectural services described above. Any additional services, such as site supervision during construction or changes to the design scope requested by the client after approval, will be billed separately at the prevailing hourly rates of the</w:t>
      </w:r>
      <w:r>
        <w:t xml:space="preserve"> </w:t>
      </w:r>
      <w:r>
        <w:rPr>
          <w:bCs/>
          <w:b/>
        </w:rPr>
        <w:t xml:space="preserve">Architect</w:t>
      </w:r>
      <w:r>
        <w:t xml:space="preserve">.</w:t>
      </w:r>
    </w:p>
    <w:p>
      <w:pPr>
        <w:numPr>
          <w:ilvl w:val="0"/>
          <w:numId w:val="1001"/>
        </w:numPr>
        <w:pStyle w:val="Compact"/>
      </w:pPr>
      <w:r>
        <w:rPr>
          <w:bCs/>
          <w:b/>
        </w:rPr>
        <w:t xml:space="preserve">Regulatory Compliance:</w:t>
      </w:r>
      <w:r>
        <w:t xml:space="preserve"> </w:t>
      </w:r>
      <w:r>
        <w:t xml:space="preserve">Skyline Architectural Studio ensures that all designs comply with the Uniform Building By-Laws (UBBL) 1984, the Fire Services Act 1988, and the specific planning guidelines of the Kuala Lumpur City Hall (DBKL). However, the client is responsible for obtaining all necessary permits and approvals.</w:t>
      </w:r>
    </w:p>
    <w:p>
      <w:pPr>
        <w:numPr>
          <w:ilvl w:val="0"/>
          <w:numId w:val="1001"/>
        </w:numPr>
        <w:pStyle w:val="Compact"/>
      </w:pPr>
      <w:r>
        <w:rPr>
          <w:bCs/>
          <w:b/>
        </w:rPr>
        <w:t xml:space="preserve">Intellectual Property:</w:t>
      </w:r>
      <w:r>
        <w:t xml:space="preserve"> </w:t>
      </w:r>
      <w:r>
        <w:t xml:space="preserve">All architectural drawings, designs, and documents remain the intellectual property of Skyline Architectural Studio until full payment of this</w:t>
      </w:r>
      <w:r>
        <w:t xml:space="preserve"> </w:t>
      </w:r>
      <w:r>
        <w:rPr>
          <w:bCs/>
          <w:b/>
        </w:rPr>
        <w:t xml:space="preserve">Invoice</w:t>
      </w:r>
      <w:r>
        <w:t xml:space="preserve"> </w:t>
      </w:r>
      <w:r>
        <w:t xml:space="preserve">and all subsequent invoices is received. Upon full payment, the client is granted a license to use the designs for the specific project in Kuala Lumpur.</w:t>
      </w:r>
    </w:p>
    <w:p>
      <w:pPr>
        <w:numPr>
          <w:ilvl w:val="0"/>
          <w:numId w:val="1001"/>
        </w:numPr>
        <w:pStyle w:val="Compact"/>
      </w:pPr>
      <w:r>
        <w:rPr>
          <w:bCs/>
          <w:b/>
        </w:rPr>
        <w:t xml:space="preserve">Force Majeure:</w:t>
      </w:r>
      <w:r>
        <w:t xml:space="preserve"> </w:t>
      </w:r>
      <w:r>
        <w:t xml:space="preserve">Neither party shall be liable for any failure or delay in performing their obligations under this agreement if such failure or delay is caused by events beyond their reasonable control, including but not limited to natural disasters, government actions, or strikes affecting operations in Malaysia.</w:t>
      </w:r>
    </w:p>
    <w:p>
      <w:pPr>
        <w:numPr>
          <w:ilvl w:val="0"/>
          <w:numId w:val="1001"/>
        </w:numPr>
        <w:pStyle w:val="Compact"/>
      </w:pPr>
      <w:r>
        <w:rPr>
          <w:bCs/>
          <w:b/>
        </w:rPr>
        <w:t xml:space="preserve">Validity:</w:t>
      </w:r>
      <w:r>
        <w:t xml:space="preserve"> </w:t>
      </w:r>
      <w:r>
        <w:t xml:space="preserve">This</w:t>
      </w:r>
      <w:r>
        <w:t xml:space="preserve"> </w:t>
      </w:r>
      <w:r>
        <w:rPr>
          <w:bCs/>
          <w:b/>
        </w:rPr>
        <w:t xml:space="preserve">Invoice</w:t>
      </w:r>
      <w:r>
        <w:t xml:space="preserve"> </w:t>
      </w:r>
      <w:r>
        <w:t xml:space="preserve">is valid for 60 days from the date of issue. If payment is not received within this period, the</w:t>
      </w:r>
      <w:r>
        <w:t xml:space="preserve"> </w:t>
      </w:r>
      <w:r>
        <w:rPr>
          <w:bCs/>
          <w:b/>
        </w:rPr>
        <w:t xml:space="preserve">Architect</w:t>
      </w:r>
      <w:r>
        <w:t xml:space="preserve"> </w:t>
      </w:r>
      <w:r>
        <w:t xml:space="preserve">reserves the right to suspend further services on the project.</w:t>
      </w:r>
    </w:p>
    <w:bookmarkEnd w:id="24"/>
    <w:p>
      <w:pPr>
        <w:pStyle w:val="FirstParagraph"/>
      </w:pPr>
      <w:r>
        <w:t xml:space="preserve">Thank you for choosing Skyline Architectural Studio for your project in Kuala Lumpur.</w:t>
      </w:r>
    </w:p>
    <w:p>
      <w:pPr>
        <w:pStyle w:val="BodyText"/>
      </w:pPr>
      <w:r>
        <w:t xml:space="preserve">We look forward to continuing our collaboration to shape the skyline of Malaysia.</w:t>
      </w:r>
    </w:p>
    <w:p>
      <w:pPr>
        <w:pStyle w:val="BodyText"/>
      </w:pPr>
      <w:r>
        <w:rPr>
          <w:bCs/>
          <w:b/>
        </w:rPr>
        <w:t xml:space="preserve">Skyline Architectural Studio Sdn Bhd</w:t>
      </w:r>
      <w:r>
        <w:t xml:space="preserve"> </w:t>
      </w:r>
      <w:r>
        <w:t xml:space="preserve">| A Registered Architectural Firm in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Kuala Lumpur, Malaysia</dc:title>
  <dc:creator/>
  <dc:language>en</dc:language>
  <cp:keywords/>
  <dcterms:created xsi:type="dcterms:W3CDTF">2026-10-10T04:06:28Z</dcterms:created>
  <dcterms:modified xsi:type="dcterms:W3CDTF">2026-10-10T04:06:28Z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