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Architectural</w:t>
      </w:r>
      <w:r>
        <w:t xml:space="preserve"> </w:t>
      </w:r>
      <w:r>
        <w:t xml:space="preserve">Services</w:t>
      </w:r>
      <w:r>
        <w:t xml:space="preserve"> </w:t>
      </w:r>
      <w:r>
        <w:t xml:space="preserve">Invoice</w:t>
      </w:r>
      <w:r>
        <w:t xml:space="preserve"> </w:t>
      </w:r>
      <w:r>
        <w:t xml:space="preserve">-</w:t>
      </w:r>
      <w:r>
        <w:t xml:space="preserve"> </w:t>
      </w:r>
      <w:r>
        <w:t xml:space="preserve">Casablanca,</w:t>
      </w:r>
      <w:r>
        <w:t xml:space="preserve"> </w:t>
      </w:r>
      <w:r>
        <w:t xml:space="preserve">Morocco</w:t>
      </w:r>
    </w:p>
    <w:bookmarkStart w:id="20" w:name="atlas-horizon-architecture"/>
    <w:p>
      <w:pPr>
        <w:pStyle w:val="Heading1"/>
      </w:pPr>
      <w:r>
        <w:t xml:space="preserve">Atlas Horizon Architecture</w:t>
      </w:r>
    </w:p>
    <w:p>
      <w:pPr>
        <w:pStyle w:val="FirstParagraph"/>
      </w:pPr>
      <w:r>
        <w:t xml:space="preserve">Professional Architectural Services</w:t>
      </w:r>
    </w:p>
    <w:p>
      <w:pPr>
        <w:pStyle w:val="BodyText"/>
      </w:pPr>
      <w:r>
        <w:t xml:space="preserve">123 Boulevard Mohammed V, Maarif</w:t>
      </w:r>
    </w:p>
    <w:p>
      <w:pPr>
        <w:pStyle w:val="BodyText"/>
      </w:pPr>
      <w:r>
        <w:t xml:space="preserve">Casablanca 20250, Morocco</w:t>
      </w:r>
    </w:p>
    <w:p>
      <w:pPr>
        <w:pStyle w:val="BodyText"/>
      </w:pPr>
      <w:r>
        <w:t xml:space="preserve">Tel: +212 522 00 00 00 | Email: billing@atlashorizon.ma</w:t>
      </w:r>
    </w:p>
    <w:p>
      <w:pPr>
        <w:pStyle w:val="BodyText"/>
      </w:pPr>
      <w:r>
        <w:t xml:space="preserve">ICE: 001234567890123 | IF: 123456789 | RC: C-123456</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Mohamed Alami</w:t>
      </w:r>
    </w:p>
    <w:p>
      <w:pPr>
        <w:pStyle w:val="BodyText"/>
      </w:pPr>
      <w:r>
        <w:rPr>
          <w:bCs/>
          <w:b/>
        </w:rPr>
        <w:t xml:space="preserve">Company:</w:t>
      </w:r>
      <w:r>
        <w:t xml:space="preserve"> </w:t>
      </w:r>
      <w:r>
        <w:t xml:space="preserve">Alami Real Estate Developments</w:t>
      </w:r>
    </w:p>
    <w:p>
      <w:pPr>
        <w:pStyle w:val="BodyText"/>
      </w:pPr>
      <w:r>
        <w:rPr>
          <w:bCs/>
          <w:b/>
        </w:rPr>
        <w:t xml:space="preserve">Address:</w:t>
      </w:r>
      <w:r>
        <w:t xml:space="preserve"> </w:t>
      </w:r>
      <w:r>
        <w:t xml:space="preserve">45 Rue Ibnou Batouta, Anfa</w:t>
      </w:r>
    </w:p>
    <w:p>
      <w:pPr>
        <w:pStyle w:val="BodyText"/>
      </w:pPr>
      <w:r>
        <w:rPr>
          <w:bCs/>
          <w:b/>
        </w:rPr>
        <w:t xml:space="preserve">City:</w:t>
      </w:r>
      <w:r>
        <w:t xml:space="preserve"> </w:t>
      </w:r>
      <w:r>
        <w:t xml:space="preserve">Casablanca, Morocco</w:t>
      </w:r>
    </w:p>
    <w:p>
      <w:pPr>
        <w:pStyle w:val="BodyText"/>
      </w:pPr>
      <w:r>
        <w:rPr>
          <w:bCs/>
          <w:b/>
        </w:rPr>
        <w:t xml:space="preserve">Phone:</w:t>
      </w:r>
      <w:r>
        <w:t xml:space="preserve"> </w:t>
      </w:r>
      <w:r>
        <w:t xml:space="preserve">+212 661 00 00 00</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Modern Residential Villa - Ain Diab</w:t>
      </w:r>
    </w:p>
    <w:p>
      <w:pPr>
        <w:pStyle w:val="BodyText"/>
      </w:pPr>
      <w:r>
        <w:rPr>
          <w:bCs/>
          <w:b/>
        </w:rPr>
        <w:t xml:space="preserve">Project Location:</w:t>
      </w:r>
      <w:r>
        <w:t xml:space="preserve"> </w:t>
      </w:r>
      <w:r>
        <w:t xml:space="preserve">Ain Diab, Casablanca, Morocco</w:t>
      </w:r>
    </w:p>
    <w:p>
      <w:pPr>
        <w:pStyle w:val="BodyText"/>
      </w:pPr>
      <w:r>
        <w:rPr>
          <w:bCs/>
          <w:b/>
        </w:rPr>
        <w:t xml:space="preserve">Invoice Number:</w:t>
      </w:r>
      <w:r>
        <w:t xml:space="preserve"> </w:t>
      </w:r>
      <w:r>
        <w:t xml:space="preserve">INV-2023-089</w:t>
      </w:r>
    </w:p>
    <w:p>
      <w:pPr>
        <w:pStyle w:val="BodyText"/>
      </w:pPr>
      <w:r>
        <w:rPr>
          <w:bCs/>
          <w:b/>
        </w:rPr>
        <w:t xml:space="preserve">Phase:</w:t>
      </w:r>
      <w:r>
        <w:t xml:space="preserve"> </w:t>
      </w:r>
      <w:r>
        <w:t xml:space="preserve">Design Development &amp; Documentation</w:t>
      </w:r>
    </w:p>
    <w:bookmarkEnd w:id="23"/>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Architectural Services</w:t>
            </w:r>
          </w:p>
        </w:tc>
        <w:tc>
          <w:tcPr/>
          <w:p>
            <w:pPr>
              <w:pStyle w:val="Compact"/>
              <w:jc w:val="left"/>
            </w:pPr>
            <w:r>
              <w:t xml:space="preserve">Hours / Units</w:t>
            </w:r>
          </w:p>
        </w:tc>
        <w:tc>
          <w:tcPr/>
          <w:p>
            <w:pPr>
              <w:pStyle w:val="Compact"/>
              <w:jc w:val="left"/>
            </w:pPr>
            <w:r>
              <w:t xml:space="preserve">Rate (MAD)</w:t>
            </w:r>
          </w:p>
        </w:tc>
        <w:tc>
          <w:tcPr/>
          <w:p>
            <w:pPr>
              <w:pStyle w:val="Compact"/>
              <w:jc w:val="left"/>
            </w:pPr>
            <w:r>
              <w:t xml:space="preserve">Amount (MAD)</w:t>
            </w:r>
          </w:p>
        </w:tc>
      </w:tr>
      <w:tr>
        <w:tc>
          <w:tcPr/>
          <w:p>
            <w:pPr>
              <w:pStyle w:val="Compact"/>
              <w:jc w:val="left"/>
            </w:pPr>
            <w:r>
              <w:rPr>
                <w:bCs/>
                <w:b/>
              </w:rPr>
              <w:t xml:space="preserve">Conceptual Design Phase:</w:t>
            </w:r>
            <w:r>
              <w:t xml:space="preserve"> </w:t>
            </w:r>
            <w:r>
              <w:t xml:space="preserve">Development of initial architectural concepts, site analysis specific to the Casablanca coastal environment, and preliminary massing studies. Includes three distinct design options focusing on modern Moroccan aesthetics.</w:t>
            </w:r>
          </w:p>
        </w:tc>
        <w:tc>
          <w:tcPr/>
          <w:p>
            <w:pPr>
              <w:pStyle w:val="Compact"/>
              <w:jc w:val="left"/>
            </w:pPr>
            <w:r>
              <w:t xml:space="preserve">40</w:t>
            </w:r>
          </w:p>
        </w:tc>
        <w:tc>
          <w:tcPr/>
          <w:p>
            <w:pPr>
              <w:pStyle w:val="Compact"/>
              <w:jc w:val="left"/>
            </w:pPr>
            <w:r>
              <w:t xml:space="preserve">1,500.00</w:t>
            </w:r>
          </w:p>
        </w:tc>
        <w:tc>
          <w:tcPr/>
          <w:p>
            <w:pPr>
              <w:pStyle w:val="Compact"/>
              <w:jc w:val="left"/>
            </w:pPr>
            <w:r>
              <w:t xml:space="preserve">60,000.00</w:t>
            </w:r>
          </w:p>
        </w:tc>
      </w:tr>
      <w:tr>
        <w:tc>
          <w:tcPr/>
          <w:p>
            <w:pPr>
              <w:pStyle w:val="Compact"/>
              <w:jc w:val="left"/>
            </w:pPr>
            <w:r>
              <w:rPr>
                <w:bCs/>
                <w:b/>
              </w:rPr>
              <w:t xml:space="preserve">Schematic Design &amp; 3D Visualization:</w:t>
            </w:r>
            <w:r>
              <w:t xml:space="preserve"> </w:t>
            </w:r>
            <w:r>
              <w:t xml:space="preserve">Refinement of the selected concept into detailed floor plans, elevations, and sections. Creation of high-quality photorealistic 3D renderings to visualize the exterior façade and interior spaces, ensuring alignment with the client's vision for the Ain Diab property.</w:t>
            </w:r>
          </w:p>
        </w:tc>
        <w:tc>
          <w:tcPr/>
          <w:p>
            <w:pPr>
              <w:pStyle w:val="Compact"/>
              <w:jc w:val="left"/>
            </w:pPr>
            <w:r>
              <w:t xml:space="preserve">60</w:t>
            </w:r>
          </w:p>
        </w:tc>
        <w:tc>
          <w:tcPr/>
          <w:p>
            <w:pPr>
              <w:pStyle w:val="Compact"/>
              <w:jc w:val="left"/>
            </w:pPr>
            <w:r>
              <w:t xml:space="preserve">1,500.00</w:t>
            </w:r>
          </w:p>
        </w:tc>
        <w:tc>
          <w:tcPr/>
          <w:p>
            <w:pPr>
              <w:pStyle w:val="Compact"/>
              <w:jc w:val="left"/>
            </w:pPr>
            <w:r>
              <w:t xml:space="preserve">90,000.00</w:t>
            </w:r>
          </w:p>
        </w:tc>
      </w:tr>
      <w:tr>
        <w:tc>
          <w:tcPr/>
          <w:p>
            <w:pPr>
              <w:pStyle w:val="Compact"/>
              <w:jc w:val="left"/>
            </w:pPr>
            <w:r>
              <w:rPr>
                <w:bCs/>
                <w:b/>
              </w:rPr>
              <w:t xml:space="preserve">Design Development:</w:t>
            </w:r>
            <w:r>
              <w:t xml:space="preserve"> </w:t>
            </w:r>
            <w:r>
              <w:t xml:space="preserve">Detailed architectural drawings including structural coordination, MEP (Mechanical, Electrical, Plumbing) layout integration, and material selection schedules. Ensuring compliance with Moroccan building codes and regulations applicable in Casablanca.</w:t>
            </w:r>
          </w:p>
        </w:tc>
        <w:tc>
          <w:tcPr/>
          <w:p>
            <w:pPr>
              <w:pStyle w:val="Compact"/>
              <w:jc w:val="left"/>
            </w:pPr>
            <w:r>
              <w:t xml:space="preserve">80</w:t>
            </w:r>
          </w:p>
        </w:tc>
        <w:tc>
          <w:tcPr/>
          <w:p>
            <w:pPr>
              <w:pStyle w:val="Compact"/>
              <w:jc w:val="left"/>
            </w:pPr>
            <w:r>
              <w:t xml:space="preserve">1,500.00</w:t>
            </w:r>
          </w:p>
        </w:tc>
        <w:tc>
          <w:tcPr/>
          <w:p>
            <w:pPr>
              <w:pStyle w:val="Compact"/>
              <w:jc w:val="left"/>
            </w:pPr>
            <w:r>
              <w:t xml:space="preserve">120,000.00</w:t>
            </w:r>
          </w:p>
        </w:tc>
      </w:tr>
      <w:tr>
        <w:tc>
          <w:tcPr/>
          <w:p>
            <w:pPr>
              <w:pStyle w:val="Compact"/>
              <w:jc w:val="left"/>
            </w:pPr>
            <w:r>
              <w:rPr>
                <w:bCs/>
                <w:b/>
              </w:rPr>
              <w:t xml:space="preserve">Construction Documentation:</w:t>
            </w:r>
            <w:r>
              <w:t xml:space="preserve"> </w:t>
            </w:r>
            <w:r>
              <w:t xml:space="preserve">Preparation of comprehensive technical drawings required for contractor bidding and municipal permit submission. Includes detailed wall sections, window schedules, and finish specifications tailored to the local climate and construction practices in Morocco.</w:t>
            </w:r>
          </w:p>
        </w:tc>
        <w:tc>
          <w:tcPr/>
          <w:p>
            <w:pPr>
              <w:pStyle w:val="Compact"/>
              <w:jc w:val="left"/>
            </w:pPr>
            <w:r>
              <w:t xml:space="preserve">100</w:t>
            </w:r>
          </w:p>
        </w:tc>
        <w:tc>
          <w:tcPr/>
          <w:p>
            <w:pPr>
              <w:pStyle w:val="Compact"/>
              <w:jc w:val="left"/>
            </w:pPr>
            <w:r>
              <w:t xml:space="preserve">1,500.00</w:t>
            </w:r>
          </w:p>
        </w:tc>
        <w:tc>
          <w:tcPr/>
          <w:p>
            <w:pPr>
              <w:pStyle w:val="Compact"/>
              <w:jc w:val="left"/>
            </w:pPr>
            <w:r>
              <w:t xml:space="preserve">150,000.00</w:t>
            </w:r>
          </w:p>
        </w:tc>
      </w:tr>
      <w:tr>
        <w:tc>
          <w:tcPr/>
          <w:p>
            <w:pPr>
              <w:pStyle w:val="Compact"/>
              <w:jc w:val="left"/>
            </w:pPr>
            <w:r>
              <w:rPr>
                <w:bCs/>
                <w:b/>
              </w:rPr>
              <w:t xml:space="preserve">Site Visits &amp; Coordination:</w:t>
            </w:r>
            <w:r>
              <w:t xml:space="preserve"> </w:t>
            </w:r>
            <w:r>
              <w:t xml:space="preserve">On-site supervision during the initial foundation phase to ensure architectural integrity. Coordination meetings with local engineers and contractors in Casablanca to resolve design queries and ensure adherence to the approved plans.</w:t>
            </w:r>
          </w:p>
        </w:tc>
        <w:tc>
          <w:tcPr/>
          <w:p>
            <w:pPr>
              <w:pStyle w:val="Compact"/>
              <w:jc w:val="left"/>
            </w:pPr>
            <w:r>
              <w:t xml:space="preserve">15</w:t>
            </w:r>
          </w:p>
        </w:tc>
        <w:tc>
          <w:tcPr/>
          <w:p>
            <w:pPr>
              <w:pStyle w:val="Compact"/>
              <w:jc w:val="left"/>
            </w:pPr>
            <w:r>
              <w:t xml:space="preserve">2,000.00</w:t>
            </w:r>
          </w:p>
        </w:tc>
        <w:tc>
          <w:tcPr/>
          <w:p>
            <w:pPr>
              <w:pStyle w:val="Compact"/>
              <w:jc w:val="left"/>
            </w:pPr>
            <w:r>
              <w:t xml:space="preserve">30,000.00</w:t>
            </w:r>
          </w:p>
        </w:tc>
      </w:tr>
    </w:tbl>
    <w:p>
      <w:pPr>
        <w:pStyle w:val="BodyText"/>
      </w:pPr>
      <w:r>
        <w:t xml:space="preserve">Subtotal:</w:t>
      </w:r>
      <w:r>
        <w:t xml:space="preserve"> </w:t>
      </w:r>
      <w:r>
        <w:t xml:space="preserve">450,000.00 MAD</w:t>
      </w:r>
    </w:p>
    <w:p>
      <w:pPr>
        <w:pStyle w:val="BodyText"/>
      </w:pPr>
      <w:r>
        <w:t xml:space="preserve">VAT (20%):</w:t>
      </w:r>
      <w:r>
        <w:t xml:space="preserve"> </w:t>
      </w:r>
      <w:r>
        <w:t xml:space="preserve">90,000.00 MAD</w:t>
      </w:r>
    </w:p>
    <w:p>
      <w:pPr>
        <w:pStyle w:val="BodyText"/>
      </w:pPr>
      <w:r>
        <w:t xml:space="preserve">Total Due:</w:t>
      </w:r>
      <w:r>
        <w:t xml:space="preserve"> </w:t>
      </w:r>
      <w:r>
        <w:t xml:space="preserve">540,000.00 MAD</w:t>
      </w:r>
    </w:p>
    <w:bookmarkStart w:id="24" w:name="payment-terms-instructions"/>
    <w:p>
      <w:pPr>
        <w:pStyle w:val="Heading4"/>
      </w:pPr>
      <w:r>
        <w:t xml:space="preserve">Payment Terms &amp; Instructions:</w:t>
      </w:r>
    </w:p>
    <w:p>
      <w:pPr>
        <w:pStyle w:val="FirstParagraph"/>
      </w:pPr>
      <w:r>
        <w:t xml:space="preserve">Payment is due within 30 days of the invoice date. Please make payments via bank transfer to the following account:</w:t>
      </w:r>
    </w:p>
    <w:p>
      <w:pPr>
        <w:pStyle w:val="BodyText"/>
      </w:pPr>
      <w:r>
        <w:rPr>
          <w:bCs/>
          <w:b/>
        </w:rPr>
        <w:t xml:space="preserve">Bank:</w:t>
      </w:r>
      <w:r>
        <w:t xml:space="preserve"> </w:t>
      </w:r>
      <w:r>
        <w:t xml:space="preserve">Attijariwafa Bank</w:t>
      </w:r>
    </w:p>
    <w:p>
      <w:pPr>
        <w:pStyle w:val="BodyText"/>
      </w:pPr>
      <w:r>
        <w:rPr>
          <w:bCs/>
          <w:b/>
        </w:rPr>
        <w:t xml:space="preserve">Account Name:</w:t>
      </w:r>
      <w:r>
        <w:t xml:space="preserve"> </w:t>
      </w:r>
      <w:r>
        <w:t xml:space="preserve">Atlas Horizon Architecture SARL</w:t>
      </w:r>
    </w:p>
    <w:p>
      <w:pPr>
        <w:pStyle w:val="BodyText"/>
      </w:pPr>
      <w:r>
        <w:rPr>
          <w:bCs/>
          <w:b/>
        </w:rPr>
        <w:t xml:space="preserve">IBAN:</w:t>
      </w:r>
      <w:r>
        <w:t xml:space="preserve"> </w:t>
      </w:r>
      <w:r>
        <w:t xml:space="preserve">MA64 0115 1000 0000 0000 0000 0</w:t>
      </w:r>
    </w:p>
    <w:p>
      <w:pPr>
        <w:pStyle w:val="BodyText"/>
      </w:pPr>
      <w:r>
        <w:rPr>
          <w:bCs/>
          <w:b/>
        </w:rPr>
        <w:t xml:space="preserve">SWIFT:</w:t>
      </w:r>
      <w:r>
        <w:t xml:space="preserve"> </w:t>
      </w:r>
      <w:r>
        <w:t xml:space="preserve">ATBJMAMC</w:t>
      </w:r>
    </w:p>
    <w:p>
      <w:pPr>
        <w:pStyle w:val="BodyText"/>
      </w:pPr>
      <w:r>
        <w:t xml:space="preserve">Please reference Invoice Number INV-2023-089 in your payment details.</w:t>
      </w:r>
    </w:p>
    <w:bookmarkEnd w:id="24"/>
    <w:bookmarkStart w:id="25" w:name="architectural-services-scope-note"/>
    <w:p>
      <w:pPr>
        <w:pStyle w:val="Heading4"/>
      </w:pPr>
      <w:r>
        <w:t xml:space="preserve">Architectural Services Scope Note:</w:t>
      </w:r>
    </w:p>
    <w:p>
      <w:pPr>
        <w:pStyle w:val="FirstParagraph"/>
      </w:pPr>
      <w:r>
        <w:t xml:space="preserve">This invoice covers the professional services rendered by the Architect for the specified project in Casablanca. It includes design, documentation, and limited site supervision as outlined. Additional services, such as full-time construction administration or major design changes requested after approval, will be billed separately at the agreed hourly rate. All designs are subject to copyright and remain the property of Atlas Horizon Architecture until full payment is received.</w:t>
      </w:r>
    </w:p>
    <w:bookmarkEnd w:id="25"/>
    <w:p>
      <w:pPr>
        <w:pStyle w:val="BodyText"/>
      </w:pPr>
      <w:r>
        <w:rPr>
          <w:bCs/>
          <w:b/>
        </w:rPr>
        <w:t xml:space="preserve">Legal Disclaimer:</w:t>
      </w:r>
      <w:r>
        <w:t xml:space="preserve"> </w:t>
      </w:r>
      <w:r>
        <w:t xml:space="preserve">This document serves as a formal request for payment for architectural services provided in accordance with the laws of Morocco. The Architect has exercised professional judgment and skill in the preparation of these documents. While every effort has been made to ensure accuracy, the Architect is not responsible for errors or omissions in information provided by the client or third-party consultants. This invoice is issued in compliance with Moroccan tax regulations. Any disputes arising from this invoice shall be subject to the jurisdiction of the courts of Casablanca.</w:t>
      </w:r>
    </w:p>
    <w:p>
      <w:pPr>
        <w:pStyle w:val="BodyText"/>
      </w:pPr>
      <w:r>
        <w:t xml:space="preserve">Thank you for your business and trust in our architectural expertise. We look forward to continuing our collaboration on this exciting project in the heart of Casablanca.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Architectural Services Invoice - Casablanca, Morocco</dc:title>
  <dc:creator/>
  <dc:language>en</dc:language>
  <cp:keywords/>
  <dcterms:created xsi:type="dcterms:W3CDTF">2026-10-10T02:54:15Z</dcterms:created>
  <dcterms:modified xsi:type="dcterms:W3CDTF">2026-10-10T02:54:15Z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