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Architectural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Yangon,</w:t>
      </w:r>
      <w:r>
        <w:t xml:space="preserve"> </w:t>
      </w:r>
      <w:r>
        <w:t xml:space="preserve">Myanmar</w:t>
      </w:r>
    </w:p>
    <w:bookmarkStart w:id="20" w:name="golden-pagoda-architects"/>
    <w:p>
      <w:pPr>
        <w:pStyle w:val="Heading1"/>
      </w:pPr>
      <w:r>
        <w:t xml:space="preserve">Golden Pagoda Architects</w:t>
      </w:r>
    </w:p>
    <w:p>
      <w:pPr>
        <w:pStyle w:val="FirstParagraph"/>
      </w:pPr>
      <w:r>
        <w:t xml:space="preserve">Professional Architectural Design &amp; Consultancy</w:t>
      </w:r>
    </w:p>
    <w:p>
      <w:pPr>
        <w:pStyle w:val="BodyText"/>
      </w:pPr>
      <w:r>
        <w:t xml:space="preserve">Plot No. 45, Bogyoke Aung San Road</w:t>
      </w:r>
    </w:p>
    <w:p>
      <w:pPr>
        <w:pStyle w:val="BodyText"/>
      </w:pPr>
      <w:r>
        <w:t xml:space="preserve">Chan Aye Thar Zan Township, Yangon, Myanmar</w:t>
      </w:r>
    </w:p>
    <w:p>
      <w:pPr>
        <w:pStyle w:val="BodyText"/>
      </w:pPr>
      <w:r>
        <w:t xml:space="preserve">Tax Registration No: 01-234-567890</w:t>
      </w:r>
    </w:p>
    <w:p>
      <w:pPr>
        <w:pStyle w:val="BodyText"/>
      </w:pPr>
      <w:r>
        <w:t xml:space="preserve">Email: billing@goldenpagodaarch.com | Phone: +95 1 234 567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GPA-2023-0892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YGN-RES-2023-04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Aung Kyaw Min</w:t>
      </w:r>
    </w:p>
    <w:p>
      <w:pPr>
        <w:pStyle w:val="BodyText"/>
      </w:pPr>
      <w:r>
        <w:t xml:space="preserve">Director, Min Thuya Development Co., Ltd.</w:t>
      </w:r>
    </w:p>
    <w:p>
      <w:pPr>
        <w:pStyle w:val="BodyText"/>
      </w:pPr>
      <w:r>
        <w:t xml:space="preserve">123 Dhammazedi Street, Kamayut Township</w:t>
      </w:r>
    </w:p>
    <w:p>
      <w:pPr>
        <w:pStyle w:val="BodyText"/>
      </w:pPr>
      <w:r>
        <w:t xml:space="preserve">Yangon, Myanmar</w:t>
      </w:r>
    </w:p>
    <w:p>
      <w:pPr>
        <w:pStyle w:val="BodyText"/>
      </w:pPr>
      <w:r>
        <w:t xml:space="preserve">Phone: +95 9 123 456 789</w:t>
      </w:r>
    </w:p>
    <w:bookmarkEnd w:id="22"/>
    <w:p>
      <w:pPr>
        <w:pStyle w:val="BodyText"/>
      </w:pPr>
      <w:r>
        <w:rPr>
          <w:bCs/>
          <w:b/>
        </w:rPr>
        <w:t xml:space="preserve">Project Title:</w:t>
      </w:r>
      <w:r>
        <w:t xml:space="preserve"> </w:t>
      </w:r>
      <w:r>
        <w:t xml:space="preserve">Modern Residential Villa Design &amp; Construction Supervision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North Okkalapa Township, Yangon, Myanmar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This invoice covers professional architectural services rendered during Phase 2 of the project, including detailed structural drawings, interior design consultation, and site supervision in accordance with the Yangon City Development Committee (YCDC) regulations.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(MMK)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(MMK)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Phase 2: Detailed Architectural Drawings</w:t>
            </w:r>
            <w:r>
              <w:br/>
            </w:r>
            <w:r>
              <w:t xml:space="preserve">Preparation of comprehensive floor plans, elevations, and sections for the 3-story residential villa. Includes integration of traditional Burmese architectural elements with modern sustainable design principles suitable for the Yangon climate.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Structural Engineering Coordination</w:t>
            </w:r>
            <w:r>
              <w:br/>
            </w:r>
            <w:r>
              <w:t xml:space="preserve">Collaboration with structural engineers to ensure the architectural design meets seismic safety standards required for construction in Myanmar. Review of foundation plans and load-bearing wall specifications.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Interior Design Consultation</w:t>
            </w:r>
            <w:r>
              <w:br/>
            </w:r>
            <w:r>
              <w:t xml:space="preserve">Selection of materials, finishes, and lighting fixtures. Space planning for living areas, bedrooms, and utility rooms. Focus on ventilation and natural light optimization for Yangon's tropical weather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YCDC Permit Application Support</w:t>
            </w:r>
            <w:r>
              <w:br/>
            </w:r>
            <w:r>
              <w:t xml:space="preserve">Preparation and submission of necessary documentation to the Yangon City Development Committee for building permit approval. Includes site plan verification and compliance checks with local zoning laws.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Supervision (October 2023)</w:t>
            </w:r>
            <w:r>
              <w:br/>
            </w:r>
            <w:r>
              <w:t xml:space="preserve">Weekly site visits to monitor construction progress, ensure adherence to architectural drawings, and coordinate with contractors. Quality control checks on masonry, concrete pouring, and framing.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Visits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3D Rendering &amp; Visualization</w:t>
            </w:r>
            <w:r>
              <w:br/>
            </w:r>
            <w:r>
              <w:t xml:space="preserve">High-resolution photorealistic renderings of the exterior facade and key interior spaces to assist in client decision-making and contractor understanding.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Images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11,900,000 MMK</w:t>
      </w:r>
    </w:p>
    <w:p>
      <w:pPr>
        <w:pStyle w:val="BodyText"/>
      </w:pPr>
      <w:r>
        <w:t xml:space="preserve">Discount (Early Payment):</w:t>
      </w:r>
      <w:r>
        <w:t xml:space="preserve"> </w:t>
      </w:r>
      <w:r>
        <w:t xml:space="preserve">-500,000 MMK</w:t>
      </w:r>
    </w:p>
    <w:p>
      <w:pPr>
        <w:pStyle w:val="BodyText"/>
      </w:pPr>
      <w:r>
        <w:t xml:space="preserve">VAT (5%):</w:t>
      </w:r>
      <w:r>
        <w:t xml:space="preserve"> </w:t>
      </w:r>
      <w:r>
        <w:t xml:space="preserve">570,000 MMK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11,970,000 MMK</w:t>
      </w:r>
    </w:p>
    <w:bookmarkStart w:id="23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payment within 30 days of the invoice date. Payments can be made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KBZ Bank (Kyaing Bank)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Golden Pagoda Architects Co., Ltd.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0123-4567-8901-2345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Yangon Central Branch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KBZBMMKY</w:t>
      </w:r>
    </w:p>
    <w:p>
      <w:pPr>
        <w:pStyle w:val="BodyText"/>
      </w:pPr>
      <w:r>
        <w:t xml:space="preserve">Please include the Invoice Number (GPA-2023-0892) as the payment reference.</w:t>
      </w:r>
    </w:p>
    <w:bookmarkEnd w:id="23"/>
    <w:bookmarkStart w:id="24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All services are provided in accordance with the professional standards of the Myanmar Institute of Architects.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from the date of this invoice. Late payments may incur a penalty of 2% per month.</w:t>
      </w:r>
    </w:p>
    <w:p>
      <w:pPr>
        <w:numPr>
          <w:ilvl w:val="0"/>
          <w:numId w:val="1001"/>
        </w:numPr>
        <w:pStyle w:val="Compact"/>
      </w:pPr>
      <w:r>
        <w:t xml:space="preserve">This invoice covers only the architectural design and supervision services. It does not include construction costs, material procurement, or third-party fees unless explicitly stated.</w:t>
      </w:r>
    </w:p>
    <w:p>
      <w:pPr>
        <w:numPr>
          <w:ilvl w:val="0"/>
          <w:numId w:val="1001"/>
        </w:numPr>
        <w:pStyle w:val="Compact"/>
      </w:pPr>
      <w:r>
        <w:t xml:space="preserve">Any changes to the project scope after the approval of this phase will be billed separately as a variation order.</w:t>
      </w:r>
    </w:p>
    <w:p>
      <w:pPr>
        <w:numPr>
          <w:ilvl w:val="0"/>
          <w:numId w:val="1001"/>
        </w:numPr>
        <w:pStyle w:val="Compact"/>
      </w:pPr>
      <w:r>
        <w:t xml:space="preserve">The architect reserves the right to suspend services if payment is not received by the due date.</w:t>
      </w:r>
    </w:p>
    <w:p>
      <w:pPr>
        <w:numPr>
          <w:ilvl w:val="0"/>
          <w:numId w:val="1001"/>
        </w:numPr>
        <w:pStyle w:val="Compact"/>
      </w:pPr>
      <w:r>
        <w:t xml:space="preserve">All drawings and documents remain the intellectual property of Golden Pagoda Architects until full payment is received.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 invoice shall be resolved under the laws of the Republic of the Union of Myanmar, with jurisdiction in Yangon.</w:t>
      </w:r>
    </w:p>
    <w:bookmarkEnd w:id="24"/>
    <w:p>
      <w:pPr>
        <w:pStyle w:val="FirstParagraph"/>
      </w:pPr>
      <w:r>
        <w:t xml:space="preserve">Authorized Signature</w:t>
      </w:r>
      <w:r>
        <w:br/>
      </w:r>
      <w:r>
        <w:t xml:space="preserve">Golden Pagoda Architects</w:t>
      </w:r>
    </w:p>
    <w:p>
      <w:pPr>
        <w:pStyle w:val="BodyText"/>
      </w:pPr>
      <w:r>
        <w:t xml:space="preserve">Received By</w:t>
      </w:r>
      <w:r>
        <w:br/>
      </w:r>
      <w:r>
        <w:t xml:space="preserve">Client Signature &amp; Date</w:t>
      </w:r>
    </w:p>
    <w:p>
      <w:pPr>
        <w:pStyle w:val="BodyText"/>
      </w:pPr>
      <w:r>
        <w:t xml:space="preserve">Thank you for choosing Golden Pagoda Architects for your project in Yangon, Myanmar.</w:t>
      </w:r>
    </w:p>
    <w:p>
      <w:pPr>
        <w:pStyle w:val="BodyText"/>
      </w:pPr>
      <w:r>
        <w:t xml:space="preserve">We are committed to delivering excellence in architectural design and construction supervision.</w:t>
      </w:r>
    </w:p>
    <w:p>
      <w:pPr>
        <w:pStyle w:val="BodyText"/>
      </w:pPr>
      <w:r>
        <w:t xml:space="preserve">© 2023 Golden Pagoda Architects Co.,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Architectural Services Invoice - Yangon, Myanmar</dc:title>
  <dc:creator/>
  <dc:language>en</dc:language>
  <cp:keywords/>
  <dcterms:created xsi:type="dcterms:W3CDTF">2026-10-10T02:09:51Z</dcterms:created>
  <dcterms:modified xsi:type="dcterms:W3CDTF">2026-10-10T02:09:51Z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