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Amsterdam,</w:t>
      </w:r>
      <w:r>
        <w:t xml:space="preserve"> </w:t>
      </w:r>
      <w:r>
        <w:t xml:space="preserve">Netherlands</w:t>
      </w:r>
    </w:p>
    <w:bookmarkStart w:id="20" w:name="amsterdam-urban-design-studio"/>
    <w:p>
      <w:pPr>
        <w:pStyle w:val="Heading1"/>
      </w:pPr>
      <w:r>
        <w:t xml:space="preserve">Amsterdam Urban Design Studio</w:t>
      </w:r>
    </w:p>
    <w:p>
      <w:pPr>
        <w:pStyle w:val="FirstParagraph"/>
      </w:pPr>
      <w:r>
        <w:t xml:space="preserve">Registered Architectural Firm</w:t>
      </w:r>
    </w:p>
    <w:p>
      <w:pPr>
        <w:pStyle w:val="BodyText"/>
      </w:pPr>
      <w:r>
        <w:t xml:space="preserve">Keizersgracht 123, 1015 CJ Amsterdam</w:t>
      </w:r>
    </w:p>
    <w:p>
      <w:pPr>
        <w:pStyle w:val="BodyText"/>
      </w:pPr>
      <w:r>
        <w:t xml:space="preserve">The Netherlands</w:t>
      </w:r>
    </w:p>
    <w:p>
      <w:pPr>
        <w:pStyle w:val="BodyText"/>
      </w:pPr>
      <w:r>
        <w:t xml:space="preserve">KVK: 34567890 | VAT ID: NL123456789B01</w:t>
      </w:r>
    </w:p>
    <w:p>
      <w:pPr>
        <w:pStyle w:val="BodyText"/>
      </w:pPr>
      <w:r>
        <w:t xml:space="preserve">info@amsterdamurban.nl | +31 20 123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De Vries Residential Developments B.V.</w:t>
      </w:r>
    </w:p>
    <w:p>
      <w:pPr>
        <w:pStyle w:val="BodyText"/>
      </w:pPr>
      <w:r>
        <w:t xml:space="preserve">Herengracht 456</w:t>
      </w:r>
    </w:p>
    <w:p>
      <w:pPr>
        <w:pStyle w:val="BodyText"/>
      </w:pPr>
      <w:r>
        <w:t xml:space="preserve">1017 CA Amsterdam</w:t>
      </w:r>
    </w:p>
    <w:p>
      <w:pPr>
        <w:pStyle w:val="BodyText"/>
      </w:pPr>
      <w:r>
        <w:t xml:space="preserve">The Netherlands</w:t>
      </w:r>
    </w:p>
    <w:p>
      <w:pPr>
        <w:pStyle w:val="BodyText"/>
      </w:pPr>
      <w:r>
        <w:t xml:space="preserve">Attn: Mr. Jan de Vries</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The Canal House Renovation</w:t>
      </w:r>
    </w:p>
    <w:p>
      <w:pPr>
        <w:pStyle w:val="BodyText"/>
      </w:pPr>
      <w:r>
        <w:rPr>
          <w:bCs/>
          <w:b/>
        </w:rPr>
        <w:t xml:space="preserve">Location:</w:t>
      </w:r>
      <w:r>
        <w:t xml:space="preserve"> </w:t>
      </w:r>
      <w:r>
        <w:t xml:space="preserve">Prinsengracht 263, Amsterdam</w:t>
      </w:r>
    </w:p>
    <w:p>
      <w:pPr>
        <w:pStyle w:val="BodyText"/>
      </w:pPr>
      <w:r>
        <w:rPr>
          <w:bCs/>
          <w:b/>
        </w:rPr>
        <w:t xml:space="preserve">Phase:</w:t>
      </w:r>
      <w:r>
        <w:t xml:space="preserve"> </w:t>
      </w:r>
      <w:r>
        <w:t xml:space="preserve">Phase 2 - Detailed Design &amp; Permitting</w:t>
      </w:r>
    </w:p>
    <w:p>
      <w:pPr>
        <w:pStyle w:val="BodyText"/>
      </w:pPr>
      <w:r>
        <w:rPr>
          <w:bCs/>
          <w:b/>
        </w:rPr>
        <w:t xml:space="preserve">Contract Reference:</w:t>
      </w:r>
      <w:r>
        <w:t xml:space="preserve"> </w:t>
      </w:r>
      <w:r>
        <w:t xml:space="preserve">ARC-AMST-2023-08</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Site Analysis and Contextual Study:</w:t>
            </w:r>
            <w:r>
              <w:t xml:space="preserve"> </w:t>
            </w:r>
            <w:r>
              <w:t xml:space="preserve">Comprehensive analysis of the existing structure within the Amsterdam canal belt context. This includes reviewing local zoning laws (Bestemmingsplan), assessing heritage constraints (Rijksmonument status), and evaluating structural integrity relative to Dutch building codes (NEN standards).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rPr>
                <w:bCs/>
                <w:b/>
              </w:rPr>
              <w:t xml:space="preserve">Conceptual Design Development:</w:t>
            </w:r>
            <w:r>
              <w:t xml:space="preserve"> </w:t>
            </w:r>
            <w:r>
              <w:t xml:space="preserve">Creation of initial architectural concepts focusing on sustainable urban living. This phase involved 3D modeling, material selection suitable for the Netherlands climate, and energy efficiency planning in accordance with the Energy Performance Certificate (EPC) requirements for Amsterdam residential properties.</w:t>
            </w:r>
          </w:p>
        </w:tc>
        <w:tc>
          <w:tcPr/>
          <w:p>
            <w:pPr>
              <w:pStyle w:val="Compact"/>
              <w:jc w:val="left"/>
            </w:pPr>
            <w:r>
              <w:t xml:space="preserve">25.5</w:t>
            </w:r>
          </w:p>
        </w:tc>
        <w:tc>
          <w:tcPr/>
          <w:p>
            <w:pPr>
              <w:pStyle w:val="Compact"/>
              <w:jc w:val="left"/>
            </w:pPr>
            <w:r>
              <w:t xml:space="preserve">185.00</w:t>
            </w:r>
          </w:p>
        </w:tc>
        <w:tc>
          <w:tcPr/>
          <w:p>
            <w:pPr>
              <w:pStyle w:val="Compact"/>
              <w:jc w:val="left"/>
            </w:pPr>
            <w:r>
              <w:t xml:space="preserve">4,717.50</w:t>
            </w:r>
          </w:p>
        </w:tc>
      </w:tr>
      <w:tr>
        <w:tc>
          <w:tcPr/>
          <w:p>
            <w:pPr>
              <w:pStyle w:val="Compact"/>
              <w:jc w:val="left"/>
            </w:pPr>
            <w:r>
              <w:t xml:space="preserve">3</w:t>
            </w:r>
          </w:p>
        </w:tc>
        <w:tc>
          <w:tcPr/>
          <w:p>
            <w:pPr>
              <w:pStyle w:val="Compact"/>
              <w:jc w:val="left"/>
            </w:pPr>
            <w:r>
              <w:rPr>
                <w:bCs/>
                <w:b/>
              </w:rPr>
              <w:t xml:space="preserve">Technical Drawings and BIM Modeling:</w:t>
            </w:r>
            <w:r>
              <w:t xml:space="preserve"> </w:t>
            </w:r>
            <w:r>
              <w:t xml:space="preserve">Production of detailed construction drawings using Building Information Modeling (BIM). Includes floor plans, elevations, sections, and facade details compliant with Dutch building regulations. Coordination with local structural engineers and MEP specialists based in Amsterdam.</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4</w:t>
            </w:r>
          </w:p>
        </w:tc>
        <w:tc>
          <w:tcPr/>
          <w:p>
            <w:pPr>
              <w:pStyle w:val="Compact"/>
              <w:jc w:val="left"/>
            </w:pPr>
            <w:r>
              <w:rPr>
                <w:bCs/>
                <w:b/>
              </w:rPr>
              <w:t xml:space="preserve">Building Permit Application Support:</w:t>
            </w:r>
            <w:r>
              <w:t xml:space="preserve"> </w:t>
            </w:r>
            <w:r>
              <w:t xml:space="preserve">Preparation and submission of the Omgevingsvergunning (Environmental Permit) application to the Municipality of Amsterdam. This includes compiling all necessary documentation, responding to municipal queries, and ensuring compliance with the local Omgevingsvisie (Environmental Vision).</w:t>
            </w:r>
          </w:p>
        </w:tc>
        <w:tc>
          <w:tcPr/>
          <w:p>
            <w:pPr>
              <w:pStyle w:val="Compact"/>
              <w:jc w:val="left"/>
            </w:pPr>
            <w:r>
              <w:t xml:space="preserve">1 Flat Fee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Client Consultation and Stakeholder Meetings:</w:t>
            </w:r>
            <w:r>
              <w:t xml:space="preserve"> </w:t>
            </w:r>
            <w:r>
              <w:t xml:space="preserve">Facilitation of design review meetings with the client and local heritage board representatives. Ensuring the architectural vision aligns with the client's requirements while respecting the historical character of the Amsterdam neighborhood.</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w:t>
            </w:r>
          </w:p>
        </w:tc>
      </w:tr>
    </w:tbl>
    <w:p>
      <w:pPr>
        <w:pStyle w:val="BodyText"/>
      </w:pPr>
      <w:r>
        <w:t xml:space="preserve">Subtotal:</w:t>
      </w:r>
      <w:r>
        <w:t xml:space="preserve"> </w:t>
      </w:r>
      <w:r>
        <w:t xml:space="preserve">€ 16,637.50</w:t>
      </w:r>
    </w:p>
    <w:p>
      <w:pPr>
        <w:pStyle w:val="BodyText"/>
      </w:pPr>
      <w:r>
        <w:t xml:space="preserve">VAT (21%):</w:t>
      </w:r>
      <w:r>
        <w:t xml:space="preserve"> </w:t>
      </w:r>
      <w:r>
        <w:t xml:space="preserve">€ 3,493.88</w:t>
      </w:r>
    </w:p>
    <w:p>
      <w:pPr>
        <w:pStyle w:val="BodyText"/>
      </w:pPr>
      <w:r>
        <w:t xml:space="preserve">Total Due:</w:t>
      </w:r>
      <w:r>
        <w:t xml:space="preserve"> </w:t>
      </w:r>
      <w:r>
        <w:t xml:space="preserve">€ 20,131.38</w:t>
      </w:r>
    </w:p>
    <w:bookmarkStart w:id="24" w:name="payment-instructions-and-terms"/>
    <w:p>
      <w:pPr>
        <w:pStyle w:val="Heading4"/>
      </w:pPr>
      <w:r>
        <w:t xml:space="preserve">Payment Instructions and Terms</w:t>
      </w:r>
    </w:p>
    <w:p>
      <w:pPr>
        <w:pStyle w:val="FirstParagraph"/>
      </w:pPr>
      <w:r>
        <w:t xml:space="preserve">Please transfer the total amount of</w:t>
      </w:r>
      <w:r>
        <w:t xml:space="preserve"> </w:t>
      </w:r>
      <w:r>
        <w:rPr>
          <w:bCs/>
          <w:b/>
        </w:rPr>
        <w:t xml:space="preserve">€ 20,131.38</w:t>
      </w:r>
      <w:r>
        <w:t xml:space="preserve"> </w:t>
      </w:r>
      <w:r>
        <w:t xml:space="preserve">to the following bank account within 30 days of the invoice date:</w:t>
      </w:r>
    </w:p>
    <w:p>
      <w:pPr>
        <w:pStyle w:val="BodyText"/>
      </w:pPr>
      <w:r>
        <w:rPr>
          <w:bCs/>
          <w:b/>
        </w:rPr>
        <w:t xml:space="preserve">Bank:</w:t>
      </w:r>
      <w:r>
        <w:t xml:space="preserve"> </w:t>
      </w:r>
      <w:r>
        <w:t xml:space="preserve">ING Bank N.V.</w:t>
      </w:r>
      <w:r>
        <w:br/>
      </w:r>
      <w:r>
        <w:rPr>
          <w:bCs/>
          <w:b/>
        </w:rPr>
        <w:t xml:space="preserve">Account Name:</w:t>
      </w:r>
      <w:r>
        <w:t xml:space="preserve"> </w:t>
      </w:r>
      <w:r>
        <w:t xml:space="preserve">Amsterdam Urban Design Studio B.V.</w:t>
      </w:r>
      <w:r>
        <w:br/>
      </w:r>
      <w:r>
        <w:rPr>
          <w:bCs/>
          <w:b/>
        </w:rPr>
        <w:t xml:space="preserve">IBAN:</w:t>
      </w:r>
      <w:r>
        <w:t xml:space="preserve"> </w:t>
      </w:r>
      <w:r>
        <w:t xml:space="preserve">NL91 INGB 0002 3456 78</w:t>
      </w:r>
      <w:r>
        <w:br/>
      </w:r>
      <w:r>
        <w:rPr>
          <w:bCs/>
          <w:b/>
        </w:rPr>
        <w:t xml:space="preserve">BIC/SWIFT:</w:t>
      </w:r>
      <w:r>
        <w:t xml:space="preserve"> </w:t>
      </w:r>
      <w:r>
        <w:t xml:space="preserve">INGBNL2A</w:t>
      </w:r>
      <w:r>
        <w:br/>
      </w:r>
      <w:r>
        <w:rPr>
          <w:bCs/>
          <w:b/>
        </w:rPr>
        <w:t xml:space="preserve">Reference:</w:t>
      </w:r>
      <w:r>
        <w:t xml:space="preserve"> </w:t>
      </w:r>
      <w:r>
        <w:t xml:space="preserve">INV-2023-10-042</w:t>
      </w:r>
    </w:p>
    <w:p>
      <w:pPr>
        <w:pStyle w:val="BodyText"/>
      </w:pPr>
      <w:r>
        <w:rPr>
          <w:bCs/>
          <w:b/>
        </w:rPr>
        <w:t xml:space="preserve">Important Note:</w:t>
      </w:r>
      <w:r>
        <w:t xml:space="preserve"> </w:t>
      </w:r>
      <w:r>
        <w:t xml:space="preserve">Please include the invoice number as the payment reference to ensure proper allocation. Late payments may incur interest charges in accordance with the Dutch Late Payment of Commercial Debts (Interest and Compensation) Act.</w:t>
      </w:r>
    </w:p>
    <w:p>
      <w:pPr>
        <w:pStyle w:val="BodyText"/>
      </w:pPr>
      <w:r>
        <w:t xml:space="preserve">This invoice reflects professional architectural services rendered in Amsterdam, Netherlands. All designs are subject to copyright and remain the property of Amsterdam Urban Design Studio until full payment is received.</w:t>
      </w:r>
    </w:p>
    <w:bookmarkEnd w:id="24"/>
    <w:p>
      <w:pPr>
        <w:pStyle w:val="BodyText"/>
      </w:pPr>
      <w:r>
        <w:t xml:space="preserve">Amsterdam Urban Design Studio B.V. | Keizersgracht 123, 1015 CJ Amsterdam, The Netherlands</w:t>
      </w:r>
    </w:p>
    <w:p>
      <w:pPr>
        <w:pStyle w:val="BodyText"/>
      </w:pPr>
      <w:r>
        <w:t xml:space="preserve">Chamber of Commerce (KVK): 34567890 | VAT ID: NL123456789B01</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Amsterdam, Netherlands</dc:title>
  <dc:creator/>
  <dc:language>en</dc:language>
  <cp:keywords/>
  <dcterms:created xsi:type="dcterms:W3CDTF">2026-10-10T02:15:25Z</dcterms:created>
  <dcterms:modified xsi:type="dcterms:W3CDTF">2026-10-10T02:15:25Z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