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architectural-studio"/>
    <w:p>
      <w:pPr>
        <w:pStyle w:val="Heading1"/>
      </w:pPr>
      <w:r>
        <w:t xml:space="preserve">Wellington Architectural Studio</w:t>
      </w:r>
    </w:p>
    <w:p>
      <w:pPr>
        <w:pStyle w:val="FirstParagraph"/>
      </w:pPr>
      <w:r>
        <w:t xml:space="preserve">Level 4, 123 Lambton Quay</w:t>
      </w:r>
    </w:p>
    <w:p>
      <w:pPr>
        <w:pStyle w:val="BodyText"/>
      </w:pPr>
      <w:r>
        <w:t xml:space="preserve">Wellington 6011, New Zealand</w:t>
      </w:r>
    </w:p>
    <w:p>
      <w:pPr>
        <w:pStyle w:val="BodyText"/>
      </w:pPr>
      <w:r>
        <w:t xml:space="preserve">Phone: +64 4 123 4567</w:t>
      </w:r>
    </w:p>
    <w:p>
      <w:pPr>
        <w:pStyle w:val="BodyText"/>
      </w:pPr>
      <w:r>
        <w:t xml:space="preserve">Email: accounts@wellingtonarchitect.co.nz</w:t>
      </w:r>
    </w:p>
    <w:p>
      <w:pPr>
        <w:pStyle w:val="BodyText"/>
      </w:pPr>
      <w:r>
        <w:t xml:space="preserve">BNZ: 02-0123-0456789-00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WLG-RES-2023-04</w:t>
      </w:r>
    </w:p>
    <w:bookmarkEnd w:id="21"/>
    <w:bookmarkStart w:id="22" w:name="bill-to"/>
    <w:p>
      <w:pPr>
        <w:pStyle w:val="Heading3"/>
      </w:pPr>
      <w:r>
        <w:t xml:space="preserve">Bill To:</w:t>
      </w:r>
    </w:p>
    <w:p>
      <w:pPr>
        <w:pStyle w:val="FirstParagraph"/>
      </w:pPr>
      <w:r>
        <w:rPr>
          <w:bCs/>
          <w:b/>
        </w:rPr>
        <w:t xml:space="preserve">Mr. James &amp; Mrs. Sarah Thompson</w:t>
      </w:r>
    </w:p>
    <w:p>
      <w:pPr>
        <w:pStyle w:val="BodyText"/>
      </w:pPr>
      <w:r>
        <w:t xml:space="preserve">45 Oriental Parade</w:t>
      </w:r>
    </w:p>
    <w:p>
      <w:pPr>
        <w:pStyle w:val="BodyText"/>
      </w:pPr>
      <w:r>
        <w:t xml:space="preserve">Wellington 6011</w:t>
      </w:r>
    </w:p>
    <w:p>
      <w:pPr>
        <w:pStyle w:val="BodyText"/>
      </w:pPr>
      <w:r>
        <w:t xml:space="preserve">New Zealand</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rPr>
                <w:bCs/>
                <w:b/>
              </w:rPr>
              <w:t xml:space="preserve">Stage 1: Concept Design Development</w:t>
            </w:r>
            <w:r>
              <w:br/>
            </w:r>
            <w:r>
              <w:t xml:space="preserve">Initial consultation and site analysis for the residential renovation project located in Wellington. This includes the preparation of preliminary sketches, massing studies, and material palettes tailored to the specific microclimate and aesthetic requirements of the Wellington region.</w:t>
            </w:r>
          </w:p>
        </w:tc>
        <w:tc>
          <w:tcPr/>
          <w:p>
            <w:pPr>
              <w:pStyle w:val="Compact"/>
              <w:jc w:val="left"/>
            </w:pPr>
            <w:r>
              <w:t xml:space="preserve">25.0</w:t>
            </w:r>
          </w:p>
        </w:tc>
        <w:tc>
          <w:tcPr/>
          <w:p>
            <w:pPr>
              <w:pStyle w:val="Compact"/>
              <w:jc w:val="left"/>
            </w:pPr>
            <w:r>
              <w:t xml:space="preserve">220.00</w:t>
            </w:r>
          </w:p>
        </w:tc>
        <w:tc>
          <w:tcPr/>
          <w:p>
            <w:pPr>
              <w:pStyle w:val="Compact"/>
              <w:jc w:val="left"/>
            </w:pPr>
            <w:r>
              <w:t xml:space="preserve">5,500.00</w:t>
            </w:r>
          </w:p>
        </w:tc>
      </w:tr>
      <w:tr>
        <w:tc>
          <w:tcPr/>
          <w:p>
            <w:pPr>
              <w:pStyle w:val="Compact"/>
              <w:jc w:val="left"/>
            </w:pPr>
            <w:r>
              <w:rPr>
                <w:bCs/>
                <w:b/>
              </w:rPr>
              <w:t xml:space="preserve">Stage 2: Resource Consent Documentation</w:t>
            </w:r>
            <w:r>
              <w:br/>
            </w:r>
            <w:r>
              <w:t xml:space="preserve">Preparation of detailed architectural drawings and specifications required for submission to the Wellington City Council. This service ensures full compliance with the Wellington District Plan, including height restrictions, boundary setbacks, and heritage overlay considerations relevant to the Oriental Parade area.</w:t>
            </w:r>
          </w:p>
        </w:tc>
        <w:tc>
          <w:tcPr/>
          <w:p>
            <w:pPr>
              <w:pStyle w:val="Compact"/>
              <w:jc w:val="left"/>
            </w:pPr>
            <w:r>
              <w:t xml:space="preserve">40.0</w:t>
            </w:r>
          </w:p>
        </w:tc>
        <w:tc>
          <w:tcPr/>
          <w:p>
            <w:pPr>
              <w:pStyle w:val="Compact"/>
              <w:jc w:val="left"/>
            </w:pPr>
            <w:r>
              <w:t xml:space="preserve">220.00</w:t>
            </w:r>
          </w:p>
        </w:tc>
        <w:tc>
          <w:tcPr/>
          <w:p>
            <w:pPr>
              <w:pStyle w:val="Compact"/>
              <w:jc w:val="left"/>
            </w:pPr>
            <w:r>
              <w:t xml:space="preserve">8,800.00</w:t>
            </w:r>
          </w:p>
        </w:tc>
      </w:tr>
      <w:tr>
        <w:tc>
          <w:tcPr/>
          <w:p>
            <w:pPr>
              <w:pStyle w:val="Compact"/>
              <w:jc w:val="left"/>
            </w:pPr>
            <w:r>
              <w:rPr>
                <w:bCs/>
                <w:b/>
              </w:rPr>
              <w:t xml:space="preserve">Stage 3: Construction Documentation</w:t>
            </w:r>
            <w:r>
              <w:br/>
            </w:r>
            <w:r>
              <w:t xml:space="preserve">Development of comprehensive working drawings for the builder. This includes floor plans, elevations, sections, and detailed joinery schedules. The architect has coordinated with structural engineers to ensure the design meets New Zealand Building Code standards for seismic resilience, a critical factor for construction in Wellington.</w:t>
            </w:r>
          </w:p>
        </w:tc>
        <w:tc>
          <w:tcPr/>
          <w:p>
            <w:pPr>
              <w:pStyle w:val="Compact"/>
              <w:jc w:val="left"/>
            </w:pPr>
            <w:r>
              <w:t xml:space="preserve">55.0</w:t>
            </w:r>
          </w:p>
        </w:tc>
        <w:tc>
          <w:tcPr/>
          <w:p>
            <w:pPr>
              <w:pStyle w:val="Compact"/>
              <w:jc w:val="left"/>
            </w:pPr>
            <w:r>
              <w:t xml:space="preserve">220.00</w:t>
            </w:r>
          </w:p>
        </w:tc>
        <w:tc>
          <w:tcPr/>
          <w:p>
            <w:pPr>
              <w:pStyle w:val="Compact"/>
              <w:jc w:val="left"/>
            </w:pPr>
            <w:r>
              <w:t xml:space="preserve">12,100.00</w:t>
            </w:r>
          </w:p>
        </w:tc>
      </w:tr>
      <w:tr>
        <w:tc>
          <w:tcPr/>
          <w:p>
            <w:pPr>
              <w:pStyle w:val="Compact"/>
              <w:jc w:val="left"/>
            </w:pPr>
            <w:r>
              <w:rPr>
                <w:bCs/>
                <w:b/>
              </w:rPr>
              <w:t xml:space="preserve">Site Visits and Administration</w:t>
            </w:r>
            <w:r>
              <w:br/>
            </w:r>
            <w:r>
              <w:t xml:space="preserve">On-site inspections to monitor progress and ensure the construction aligns with the approved architectural design. Includes correspondence with the contractor and the council regarding minor variations and site-specific queries arising during the build phase.</w:t>
            </w:r>
          </w:p>
        </w:tc>
        <w:tc>
          <w:tcPr/>
          <w:p>
            <w:pPr>
              <w:pStyle w:val="Compact"/>
              <w:jc w:val="left"/>
            </w:pPr>
            <w:r>
              <w:t xml:space="preserve">10.0</w:t>
            </w:r>
          </w:p>
        </w:tc>
        <w:tc>
          <w:tcPr/>
          <w:p>
            <w:pPr>
              <w:pStyle w:val="Compact"/>
              <w:jc w:val="left"/>
            </w:pPr>
            <w:r>
              <w:t xml:space="preserve">220.00</w:t>
            </w:r>
          </w:p>
        </w:tc>
        <w:tc>
          <w:tcPr/>
          <w:p>
            <w:pPr>
              <w:pStyle w:val="Compact"/>
              <w:jc w:val="left"/>
            </w:pPr>
            <w:r>
              <w:t xml:space="preserve">2,200.00</w:t>
            </w:r>
          </w:p>
        </w:tc>
      </w:tr>
      <w:tr>
        <w:tc>
          <w:tcPr/>
          <w:p>
            <w:pPr>
              <w:pStyle w:val="Compact"/>
              <w:jc w:val="left"/>
            </w:pPr>
            <w:r>
              <w:rPr>
                <w:bCs/>
                <w:b/>
              </w:rPr>
              <w:t xml:space="preserve">Disbursements: Council Fees</w:t>
            </w:r>
            <w:r>
              <w:br/>
            </w:r>
            <w:r>
              <w:t xml:space="preserve">Reimbursement for the Resource Consent application fee paid directly to the Wellington City Council on behalf of the client.</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30,450.00</w:t>
            </w:r>
          </w:p>
        </w:tc>
      </w:tr>
      <w:tr>
        <w:tc>
          <w:tcPr/>
          <w:p>
            <w:pPr>
              <w:pStyle w:val="Compact"/>
              <w:jc w:val="left"/>
            </w:pPr>
            <w:r>
              <w:t xml:space="preserve">GST (15%):</w:t>
            </w:r>
          </w:p>
        </w:tc>
        <w:tc>
          <w:tcPr/>
          <w:p>
            <w:pPr>
              <w:pStyle w:val="Compact"/>
              <w:jc w:val="left"/>
            </w:pPr>
            <w:r>
              <w:t xml:space="preserve">4,567.50</w:t>
            </w:r>
          </w:p>
        </w:tc>
      </w:tr>
      <w:tr>
        <w:tc>
          <w:tcPr/>
          <w:p>
            <w:pPr>
              <w:pStyle w:val="Compact"/>
              <w:jc w:val="left"/>
            </w:pPr>
            <w:r>
              <w:t xml:space="preserve">Total Due (NZD):</w:t>
            </w:r>
          </w:p>
        </w:tc>
        <w:tc>
          <w:tcPr/>
          <w:p>
            <w:pPr>
              <w:pStyle w:val="Compact"/>
              <w:jc w:val="left"/>
            </w:pPr>
            <w:r>
              <w:t xml:space="preserve">35,017.50</w:t>
            </w:r>
          </w:p>
        </w:tc>
      </w:tr>
    </w:tbl>
    <w:bookmarkStart w:id="23" w:name="terms-and-conditions"/>
    <w:p>
      <w:pPr>
        <w:pStyle w:val="Heading4"/>
      </w:pPr>
      <w:r>
        <w:t xml:space="preserve">Terms and Conditions</w:t>
      </w:r>
    </w:p>
    <w:p>
      <w:pPr>
        <w:pStyle w:val="FirstParagraph"/>
      </w:pPr>
      <w:r>
        <w:t xml:space="preserve">1. Payment is due within 30 days of the invoice date. Please quote the invoice number (INV-2023-089) when making payment.</w:t>
      </w:r>
      <w:r>
        <w:br/>
      </w:r>
      <w:r>
        <w:t xml:space="preserve">2. All fees are quoted in New Zealand Dollars (NZD) and are inclusive of Goods and Services Tax (GST) at the current rate of 15%.</w:t>
      </w:r>
      <w:r>
        <w:br/>
      </w:r>
      <w:r>
        <w:t xml:space="preserve">3. This invoice covers the architectural services rendered by Wellington Architectural Studio for the project located in Wellington, New Zealand, as agreed upon in the Professional Services Agreement dated 15 June 2023.</w:t>
      </w:r>
      <w:r>
        <w:br/>
      </w:r>
      <w:r>
        <w:t xml:space="preserve">4. Late payments may incur interest charges at the rate of 1.5% per month on the outstanding balance.</w:t>
      </w:r>
      <w:r>
        <w:br/>
      </w:r>
      <w:r>
        <w:t xml:space="preserve">5. Any disputes regarding this invoice must be raised in writing within 14 days of receipt.</w:t>
      </w:r>
      <w:r>
        <w:br/>
      </w:r>
      <w:r>
        <w:t xml:space="preserve">6. The architect retains copyright to all design documents until full payment has been received.</w:t>
      </w:r>
    </w:p>
    <w:bookmarkEnd w:id="23"/>
    <w:p>
      <w:pPr>
        <w:pStyle w:val="BodyText"/>
      </w:pPr>
      <w:r>
        <w:t xml:space="preserve">Thank you for choosing Wellington Architectural Studio for your project in New Zealand.</w:t>
      </w:r>
    </w:p>
    <w:p>
      <w:pPr>
        <w:pStyle w:val="BodyText"/>
      </w:pPr>
      <w:r>
        <w:t xml:space="preserve">Registered in New Zealand | NZBN: 9429045678901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Wellington, New Zealand</dc:title>
  <dc:creator/>
  <dc:language>en</dc:language>
  <cp:keywords/>
  <dcterms:created xsi:type="dcterms:W3CDTF">2026-10-10T05:09:53Z</dcterms:created>
  <dcterms:modified xsi:type="dcterms:W3CDTF">2026-10-10T05:09:53Z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