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Lima,</w:t>
      </w:r>
      <w:r>
        <w:t xml:space="preserve"> </w:t>
      </w:r>
      <w:r>
        <w:t xml:space="preserve">Peru</w:t>
      </w:r>
    </w:p>
    <w:bookmarkStart w:id="20" w:name="studio-horizonte-arquitectos"/>
    <w:p>
      <w:pPr>
        <w:pStyle w:val="Heading1"/>
      </w:pPr>
      <w:r>
        <w:t xml:space="preserve">Studio Horizonte Arquitectos</w:t>
      </w:r>
    </w:p>
    <w:p>
      <w:pPr>
        <w:pStyle w:val="FirstParagraph"/>
      </w:pPr>
      <w:r>
        <w:t xml:space="preserve">Av. Javier Prado Este 4500, San Isidro</w:t>
      </w:r>
    </w:p>
    <w:p>
      <w:pPr>
        <w:pStyle w:val="BodyText"/>
      </w:pPr>
      <w:r>
        <w:t xml:space="preserve">Lima 27, Peru</w:t>
      </w:r>
    </w:p>
    <w:p>
      <w:pPr>
        <w:pStyle w:val="BodyText"/>
      </w:pPr>
      <w:r>
        <w:t xml:space="preserve">RUC: 20601234567 | Col. de Arquitectos N° 45890</w:t>
      </w:r>
    </w:p>
    <w:p>
      <w:pPr>
        <w:pStyle w:val="BodyText"/>
      </w:pPr>
      <w:r>
        <w:t xml:space="preserve">Email: facturacion@studiohorizonte.pe | Tel: +51 1 456 7890</w:t>
      </w:r>
    </w:p>
    <w:bookmarkEnd w:id="20"/>
    <w:bookmarkStart w:id="21" w:name="invoice"/>
    <w:p>
      <w:pPr>
        <w:pStyle w:val="Heading2"/>
      </w:pPr>
      <w:r>
        <w:t xml:space="preserve">INVOICE</w:t>
      </w:r>
    </w:p>
    <w:p>
      <w:pPr>
        <w:pStyle w:val="FirstParagraph"/>
      </w:pPr>
      <w:r>
        <w:t xml:space="preserve">Professional Architectural Services</w:t>
      </w:r>
    </w:p>
    <w:bookmarkEnd w:id="21"/>
    <w:p>
      <w:pPr>
        <w:pStyle w:val="BodyText"/>
      </w:pPr>
      <w:r>
        <w:t xml:space="preserve">Bill To:</w:t>
      </w:r>
    </w:p>
    <w:p>
      <w:pPr>
        <w:pStyle w:val="BodyText"/>
      </w:pPr>
      <w:r>
        <w:rPr>
          <w:bCs/>
          <w:b/>
        </w:rPr>
        <w:t xml:space="preserve">Constructora Andina S.A.C.</w:t>
      </w:r>
    </w:p>
    <w:p>
      <w:pPr>
        <w:pStyle w:val="BodyText"/>
      </w:pPr>
      <w:r>
        <w:t xml:space="preserve">Jr. de la Unión 123, Miraflores</w:t>
      </w:r>
    </w:p>
    <w:p>
      <w:pPr>
        <w:pStyle w:val="BodyText"/>
      </w:pPr>
      <w:r>
        <w:t xml:space="preserve">Lima, Peru</w:t>
      </w:r>
    </w:p>
    <w:p>
      <w:pPr>
        <w:pStyle w:val="BodyText"/>
      </w:pPr>
      <w:r>
        <w:t xml:space="preserve">RUC: 20509876543</w:t>
      </w:r>
    </w:p>
    <w:p>
      <w:pPr>
        <w:pStyle w:val="BodyText"/>
      </w:pPr>
      <w:r>
        <w:t xml:space="preserve">Attn: Mr. Carlos Mendoza, Project Director</w:t>
      </w:r>
    </w:p>
    <w:p>
      <w:pPr>
        <w:pStyle w:val="BodyText"/>
      </w:pPr>
      <w:r>
        <w:t xml:space="preserve">Invoice Information:</w:t>
      </w:r>
    </w:p>
    <w:p>
      <w:pPr>
        <w:pStyle w:val="BodyText"/>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Residencial Miraflores Phase II</w:t>
      </w:r>
    </w:p>
    <w:bookmarkStart w:id="22" w:name="project-scope-and-architectural-context"/>
    <w:p>
      <w:pPr>
        <w:pStyle w:val="Heading4"/>
      </w:pPr>
      <w:r>
        <w:t xml:space="preserve">Project Scope and Architectural Context</w:t>
      </w:r>
    </w:p>
    <w:p>
      <w:pPr>
        <w:pStyle w:val="FirstParagraph"/>
      </w:pPr>
      <w:r>
        <w:t xml:space="preserve">This Invoice represents the professional fees for architectural design and consultancy services rendered by Studio Horizonte Arquitectos for the "Residencial Miraflores Phase II" project located in the district of Miraflores, Lima, Peru. The services provided adhere strictly to the National Building Regulations (Reglamento Nacional de Edificaciones - RNE) of Peru and the specific urban planning guidelines established by the Municipality of Miraflores.</w:t>
      </w:r>
    </w:p>
    <w:p>
      <w:pPr>
        <w:pStyle w:val="BodyText"/>
      </w:pPr>
      <w:r>
        <w:t xml:space="preserve">The architectural work encompasses the conceptualization, schematic design, and development of the design for a mixed-use residential complex. Our team has focused on integrating sustainable building practices suitable for the coastal climate of Lima, ensuring energy efficiency and structural resilience. This includes the preparation of detailed floor plans, elevations, sections, and 3D visualizations required for the building permit application (Licencia de Edificación) with the local municipal authority.</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(PEN)</w:t>
            </w:r>
          </w:p>
        </w:tc>
        <w:tc>
          <w:tcPr/>
          <w:p>
            <w:pPr>
              <w:pStyle w:val="Compact"/>
              <w:jc w:val="left"/>
            </w:pPr>
            <w:r>
              <w:t xml:space="preserve">Amount (PEN)</w:t>
            </w:r>
          </w:p>
        </w:tc>
      </w:tr>
      <w:tr>
        <w:tc>
          <w:tcPr/>
          <w:p>
            <w:pPr>
              <w:pStyle w:val="Compact"/>
              <w:jc w:val="left"/>
            </w:pPr>
            <w:r>
              <w:t xml:space="preserve">1</w:t>
            </w:r>
          </w:p>
        </w:tc>
        <w:tc>
          <w:tcPr/>
          <w:p>
            <w:pPr>
              <w:pStyle w:val="Compact"/>
              <w:jc w:val="left"/>
            </w:pPr>
            <w:r>
              <w:rPr>
                <w:bCs/>
                <w:b/>
              </w:rPr>
              <w:t xml:space="preserve">Conceptual Design &amp; Site Analysis:</w:t>
            </w:r>
            <w:r>
              <w:t xml:space="preserve"> </w:t>
            </w:r>
            <w:r>
              <w:t xml:space="preserve">Comprehensive analysis of the topography and urban context in Lima. Development of initial massing studies and conceptual layouts optimizing natural light and ventilation.</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Schematic Design Development:</w:t>
            </w:r>
            <w:r>
              <w:t xml:space="preserve"> </w:t>
            </w:r>
            <w:r>
              <w:t xml:space="preserve">Refinement of architectural plans, including unit distribution, circulation flows, and facade articulation. Coordination with structural and MEP engineers to ensure feasibility within Peruvian standards.</w:t>
            </w:r>
          </w:p>
        </w:tc>
        <w:tc>
          <w:tcPr/>
          <w:p>
            <w:pPr>
              <w:pStyle w:val="Compact"/>
              <w:jc w:val="left"/>
            </w:pPr>
            <w:r>
              <w:t xml:space="preserve">60</w:t>
            </w:r>
          </w:p>
        </w:tc>
        <w:tc>
          <w:tcPr/>
          <w:p>
            <w:pPr>
              <w:pStyle w:val="Compact"/>
              <w:jc w:val="left"/>
            </w:pPr>
            <w:r>
              <w:t xml:space="preserve">150.00</w:t>
            </w:r>
          </w:p>
        </w:tc>
        <w:tc>
          <w:tcPr/>
          <w:p>
            <w:pPr>
              <w:pStyle w:val="Compact"/>
              <w:jc w:val="left"/>
            </w:pPr>
            <w:r>
              <w:t xml:space="preserve">9,000.00</w:t>
            </w:r>
          </w:p>
        </w:tc>
      </w:tr>
      <w:tr>
        <w:tc>
          <w:tcPr/>
          <w:p>
            <w:pPr>
              <w:pStyle w:val="Compact"/>
              <w:jc w:val="left"/>
            </w:pPr>
            <w:r>
              <w:t xml:space="preserve">3</w:t>
            </w:r>
          </w:p>
        </w:tc>
        <w:tc>
          <w:tcPr/>
          <w:p>
            <w:pPr>
              <w:pStyle w:val="Compact"/>
              <w:jc w:val="left"/>
            </w:pPr>
            <w:r>
              <w:rPr>
                <w:bCs/>
                <w:b/>
              </w:rPr>
              <w:t xml:space="preserve">Design Development &amp; Technical Drawings:</w:t>
            </w:r>
            <w:r>
              <w:t xml:space="preserve"> </w:t>
            </w:r>
            <w:r>
              <w:t xml:space="preserve">Preparation of detailed construction documents, including material specifications, wall sections, and window schedules. These documents are formatted for submission to the Municipality of Miraflores.</w:t>
            </w:r>
          </w:p>
        </w:tc>
        <w:tc>
          <w:tcPr/>
          <w:p>
            <w:pPr>
              <w:pStyle w:val="Compact"/>
              <w:jc w:val="left"/>
            </w:pPr>
            <w:r>
              <w:t xml:space="preserve">80</w:t>
            </w:r>
          </w:p>
        </w:tc>
        <w:tc>
          <w:tcPr/>
          <w:p>
            <w:pPr>
              <w:pStyle w:val="Compact"/>
              <w:jc w:val="left"/>
            </w:pPr>
            <w:r>
              <w:t xml:space="preserve">150.00</w:t>
            </w:r>
          </w:p>
        </w:tc>
        <w:tc>
          <w:tcPr/>
          <w:p>
            <w:pPr>
              <w:pStyle w:val="Compact"/>
              <w:jc w:val="left"/>
            </w:pPr>
            <w:r>
              <w:t xml:space="preserve">12,000.00</w:t>
            </w:r>
          </w:p>
        </w:tc>
      </w:tr>
      <w:tr>
        <w:tc>
          <w:tcPr/>
          <w:p>
            <w:pPr>
              <w:pStyle w:val="Compact"/>
              <w:jc w:val="left"/>
            </w:pPr>
            <w:r>
              <w:t xml:space="preserve">4</w:t>
            </w:r>
          </w:p>
        </w:tc>
        <w:tc>
          <w:tcPr/>
          <w:p>
            <w:pPr>
              <w:pStyle w:val="Compact"/>
              <w:jc w:val="left"/>
            </w:pPr>
            <w:r>
              <w:rPr>
                <w:bCs/>
                <w:b/>
              </w:rPr>
              <w:t xml:space="preserve">3D Visualization &amp; Rendering:</w:t>
            </w:r>
            <w:r>
              <w:t xml:space="preserve"> </w:t>
            </w:r>
            <w:r>
              <w:t xml:space="preserve">Creation of high-quality photorealistic renderings of the exterior facade and interior common areas to assist in marketing and stakeholder approval.</w:t>
            </w:r>
          </w:p>
        </w:tc>
        <w:tc>
          <w:tcPr/>
          <w:p>
            <w:pPr>
              <w:pStyle w:val="Compact"/>
              <w:jc w:val="left"/>
            </w:pPr>
            <w:r>
              <w:t xml:space="preserve">10</w:t>
            </w:r>
          </w:p>
        </w:tc>
        <w:tc>
          <w:tcPr/>
          <w:p>
            <w:pPr>
              <w:pStyle w:val="Compact"/>
              <w:jc w:val="left"/>
            </w:pPr>
            <w:r>
              <w:t xml:space="preserve">800.00</w:t>
            </w:r>
          </w:p>
        </w:tc>
        <w:tc>
          <w:tcPr/>
          <w:p>
            <w:pPr>
              <w:pStyle w:val="Compact"/>
              <w:jc w:val="left"/>
            </w:pPr>
            <w:r>
              <w:t xml:space="preserve">8,000.00</w:t>
            </w:r>
          </w:p>
        </w:tc>
      </w:tr>
      <w:tr>
        <w:tc>
          <w:tcPr/>
          <w:p>
            <w:pPr>
              <w:pStyle w:val="Compact"/>
              <w:jc w:val="left"/>
            </w:pPr>
            <w:r>
              <w:t xml:space="preserve">5</w:t>
            </w:r>
          </w:p>
        </w:tc>
        <w:tc>
          <w:tcPr/>
          <w:p>
            <w:pPr>
              <w:pStyle w:val="Compact"/>
              <w:jc w:val="left"/>
            </w:pPr>
            <w:r>
              <w:rPr>
                <w:bCs/>
                <w:b/>
              </w:rPr>
              <w:t xml:space="preserve">Municipal Coordination Support:</w:t>
            </w:r>
            <w:r>
              <w:t xml:space="preserve"> </w:t>
            </w:r>
            <w:r>
              <w:t xml:space="preserve">Professional review and adjustment of plans based on initial feedback from the local Lima municipal authorities to ensure compliance with zoning laws and building codes.</w:t>
            </w:r>
          </w:p>
        </w:tc>
        <w:tc>
          <w:tcPr/>
          <w:p>
            <w:pPr>
              <w:pStyle w:val="Compact"/>
              <w:jc w:val="left"/>
            </w:pPr>
            <w:r>
              <w:t xml:space="preserve">15</w:t>
            </w:r>
          </w:p>
        </w:tc>
        <w:tc>
          <w:tcPr/>
          <w:p>
            <w:pPr>
              <w:pStyle w:val="Compact"/>
              <w:jc w:val="left"/>
            </w:pPr>
            <w:r>
              <w:t xml:space="preserve">150.00</w:t>
            </w:r>
          </w:p>
        </w:tc>
        <w:tc>
          <w:tcPr/>
          <w:p>
            <w:pPr>
              <w:pStyle w:val="Compact"/>
              <w:jc w:val="left"/>
            </w:pPr>
            <w:r>
              <w:t xml:space="preserve">2,250.00</w:t>
            </w:r>
          </w:p>
        </w:tc>
      </w:tr>
    </w:tbl>
    <w:p>
      <w:pPr>
        <w:pStyle w:val="BodyText"/>
      </w:pPr>
      <w:r>
        <w:t xml:space="preserve">Subtotal:</w:t>
      </w:r>
      <w:r>
        <w:t xml:space="preserve"> </w:t>
      </w:r>
      <w:r>
        <w:t xml:space="preserve">S/ 37,250.00</w:t>
      </w:r>
    </w:p>
    <w:p>
      <w:pPr>
        <w:pStyle w:val="BodyText"/>
      </w:pPr>
      <w:r>
        <w:t xml:space="preserve">IGV (18% VAT):</w:t>
      </w:r>
      <w:r>
        <w:t xml:space="preserve"> </w:t>
      </w:r>
      <w:r>
        <w:t xml:space="preserve">S/ 6,705.00</w:t>
      </w:r>
    </w:p>
    <w:p>
      <w:pPr>
        <w:pStyle w:val="BodyText"/>
      </w:pPr>
      <w:r>
        <w:t xml:space="preserve">Total Due (PEN):</w:t>
      </w:r>
      <w:r>
        <w:t xml:space="preserve"> </w:t>
      </w:r>
      <w:r>
        <w:t xml:space="preserve">S/ 43,955.00</w:t>
      </w:r>
    </w:p>
    <w:bookmarkStart w:id="23" w:name="payment-terms-and-conditions"/>
    <w:p>
      <w:pPr>
        <w:pStyle w:val="Heading4"/>
      </w:pPr>
      <w:r>
        <w:t xml:space="preserve">Payment Terms and Conditions</w:t>
      </w:r>
    </w:p>
    <w:p>
      <w:pPr>
        <w:pStyle w:val="FirstParagraph"/>
      </w:pPr>
      <w:r>
        <w:rPr>
          <w:bCs/>
          <w:b/>
        </w:rPr>
        <w:t xml:space="preserve">Currency:</w:t>
      </w:r>
      <w:r>
        <w:t xml:space="preserve"> </w:t>
      </w:r>
      <w:r>
        <w:t xml:space="preserve">All amounts are quoted in Peruvian Soles (PEN).</w:t>
      </w:r>
      <w:r>
        <w:br/>
      </w:r>
      <w:r>
        <w:rPr>
          <w:bCs/>
          <w:b/>
        </w:rPr>
        <w:t xml:space="preserve">Payment Method:</w:t>
      </w:r>
      <w:r>
        <w:t xml:space="preserve"> </w:t>
      </w:r>
      <w:r>
        <w:t xml:space="preserve">Payments should be made via bank transfer to the following account:</w:t>
      </w:r>
      <w:r>
        <w:br/>
      </w:r>
      <w:r>
        <w:t xml:space="preserve">Bank: Banco de Crédito del Perú (BCP)</w:t>
      </w:r>
      <w:r>
        <w:br/>
      </w:r>
      <w:r>
        <w:t xml:space="preserve">Account Name: Studio Horizonte Arquitectos S.A.C.</w:t>
      </w:r>
      <w:r>
        <w:br/>
      </w:r>
      <w:r>
        <w:t xml:space="preserve">Account Number: 194-567890-1-23</w:t>
      </w:r>
      <w:r>
        <w:br/>
      </w:r>
      <w:r>
        <w:rPr>
          <w:bCs/>
          <w:b/>
        </w:rPr>
        <w:t xml:space="preserve">Due Date:</w:t>
      </w:r>
      <w:r>
        <w:t xml:space="preserve"> </w:t>
      </w:r>
      <w:r>
        <w:t xml:space="preserve">Payment is due within 30 days from the date of this Invoice. Late payments may incur a penalty of 1.5% per month as per Peruvian commercial law.</w:t>
      </w:r>
      <w:r>
        <w:br/>
      </w:r>
      <w:r>
        <w:rPr>
          <w:bCs/>
          <w:b/>
        </w:rPr>
        <w:t xml:space="preserve">Tax Compliance:</w:t>
      </w:r>
      <w:r>
        <w:t xml:space="preserve"> </w:t>
      </w:r>
      <w:r>
        <w:t xml:space="preserve">This Invoice is issued in accordance with the regulations of the Superintendencia Nacional de Aduanas y de Administración Tributaria (SUNAT). The IGV (Impuesto General a las Ventas) of 18% is included as required for professional services in Peru.</w:t>
      </w:r>
    </w:p>
    <w:bookmarkEnd w:id="23"/>
    <w:p>
      <w:pPr>
        <w:pStyle w:val="BodyText"/>
      </w:pPr>
      <w:r>
        <w:rPr>
          <w:bCs/>
          <w:b/>
        </w:rPr>
        <w:t xml:space="preserve">Authorized Signature</w:t>
      </w:r>
    </w:p>
    <w:p>
      <w:pPr>
        <w:pStyle w:val="BodyText"/>
      </w:pPr>
      <w:r>
        <w:t xml:space="preserve">Arq. Sofia Ramirez</w:t>
      </w:r>
    </w:p>
    <w:p>
      <w:pPr>
        <w:pStyle w:val="BodyText"/>
      </w:pPr>
      <w:r>
        <w:t xml:space="preserve">Principal Architect</w:t>
      </w:r>
    </w:p>
    <w:p>
      <w:pPr>
        <w:pStyle w:val="BodyText"/>
      </w:pPr>
      <w:r>
        <w:t xml:space="preserve">Studio Horizonte Arquitectos</w:t>
      </w:r>
    </w:p>
    <w:p>
      <w:pPr>
        <w:pStyle w:val="BodyText"/>
      </w:pPr>
      <w:r>
        <w:rPr>
          <w:bCs/>
          <w:b/>
        </w:rPr>
        <w:t xml:space="preserve">Received By</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This document serves as a formal request for payment for architectural services rendered.</w:t>
      </w:r>
      <w:r>
        <w:t xml:space="preserve"> </w:t>
      </w:r>
      <w:r>
        <w:t xml:space="preserve">For any inquiries regarding this Invoice, please contact our accounting department in Lima, Peru.</w:t>
      </w:r>
      <w:r>
        <w:t xml:space="preserve"> </w:t>
      </w:r>
      <w:r>
        <w:t xml:space="preserve">Thank you for your business and trust in our architectural vision.</w:t>
      </w:r>
    </w:p>
    <w:p>
      <w:pPr>
        <w:pStyle w:val="BodyText"/>
      </w:pPr>
      <w:r>
        <w:t xml:space="preserve">© 2023 Studio Horizonte Arquitectos. All Rights Reserved.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Lima, Peru</dc:title>
  <dc:creator/>
  <dc:language>en</dc:language>
  <cp:keywords/>
  <dcterms:created xsi:type="dcterms:W3CDTF">2026-10-10T05:41:18Z</dcterms:created>
  <dcterms:modified xsi:type="dcterms:W3CDTF">2026-10-10T05:41:18Z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