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Manila,</w:t>
      </w:r>
      <w:r>
        <w:t xml:space="preserve"> </w:t>
      </w:r>
      <w:r>
        <w:t xml:space="preserve">Philippines</w:t>
      </w:r>
    </w:p>
    <w:bookmarkStart w:id="20" w:name="manila-heritage-architects"/>
    <w:p>
      <w:pPr>
        <w:pStyle w:val="Heading1"/>
      </w:pPr>
      <w:r>
        <w:t xml:space="preserve">Manila Heritage Architects</w:t>
      </w:r>
    </w:p>
    <w:p>
      <w:pPr>
        <w:pStyle w:val="FirstParagraph"/>
      </w:pPr>
      <w:r>
        <w:t xml:space="preserve">Professional Architectural Firm</w:t>
      </w:r>
    </w:p>
    <w:p>
      <w:pPr>
        <w:pStyle w:val="BodyText"/>
      </w:pPr>
      <w:r>
        <w:t xml:space="preserve">Unit 1204, Ayala Tower One, Makati Avenue</w:t>
      </w:r>
    </w:p>
    <w:p>
      <w:pPr>
        <w:pStyle w:val="BodyText"/>
      </w:pPr>
      <w:r>
        <w:t xml:space="preserve">Makati City, Metro Manila, Philippines 1226</w:t>
      </w:r>
    </w:p>
    <w:p>
      <w:pPr>
        <w:pStyle w:val="BodyText"/>
      </w:pPr>
      <w:r>
        <w:t xml:space="preserve">Phone: +63 (2) 8888-1234 | Email: billing@manilaheritage.ph</w:t>
      </w:r>
    </w:p>
    <w:p>
      <w:pPr>
        <w:pStyle w:val="BodyText"/>
      </w:pPr>
      <w:r>
        <w:t xml:space="preserve">TIN: 000-123-456-000 | PRC License No. 12345</w:t>
      </w:r>
    </w:p>
    <w:bookmarkEnd w:id="20"/>
    <w:bookmarkStart w:id="21" w:name="invoice"/>
    <w:p>
      <w:pPr>
        <w:pStyle w:val="Heading2"/>
      </w:pPr>
      <w:r>
        <w:t xml:space="preserve">INVOICE</w:t>
      </w:r>
    </w:p>
    <w:p>
      <w:pPr>
        <w:pStyle w:val="FirstParagraph"/>
      </w:pPr>
      <w:r>
        <w:t xml:space="preserve">Official Receipt Attached</w:t>
      </w:r>
    </w:p>
    <w:bookmarkEnd w:id="21"/>
    <w:p>
      <w:pPr>
        <w:pStyle w:val="BodyText"/>
      </w:pPr>
      <w:r>
        <w:t xml:space="preserve">Bill To:</w:t>
      </w:r>
    </w:p>
    <w:p>
      <w:pPr>
        <w:pStyle w:val="BodyText"/>
      </w:pPr>
      <w:r>
        <w:rPr>
          <w:bCs/>
          <w:b/>
        </w:rPr>
        <w:t xml:space="preserve">Del Rosario Development Corp.</w:t>
      </w:r>
      <w:r>
        <w:br/>
      </w:r>
      <w:r>
        <w:t xml:space="preserve">Attn: Mr. Juan Del Rosario</w:t>
      </w:r>
      <w:r>
        <w:br/>
      </w:r>
      <w:r>
        <w:t xml:space="preserve">101 Ortigas Avenue, Pasig City</w:t>
      </w:r>
      <w:r>
        <w:br/>
      </w:r>
      <w:r>
        <w:t xml:space="preserve">Metro Manila, Philippines 1605</w:t>
      </w:r>
      <w:r>
        <w:br/>
      </w:r>
      <w:r>
        <w:t xml:space="preserve">TIN: 123-456-789-000</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Issued:</w:t>
      </w:r>
      <w:r>
        <w:t xml:space="preserve"> </w:t>
      </w:r>
      <w:r>
        <w:t xml:space="preserve">October 25, 2023</w:t>
      </w:r>
      <w:r>
        <w:br/>
      </w:r>
      <w:r>
        <w:rPr>
          <w:bCs/>
          <w:b/>
        </w:rPr>
        <w:t xml:space="preserve">Due Date:</w:t>
      </w:r>
      <w:r>
        <w:t xml:space="preserve"> </w:t>
      </w:r>
      <w:r>
        <w:t xml:space="preserve">November 25, 2023</w:t>
      </w:r>
      <w:r>
        <w:br/>
      </w:r>
      <w:r>
        <w:rPr>
          <w:bCs/>
          <w:b/>
        </w:rPr>
        <w:t xml:space="preserve">Project Reference:</w:t>
      </w:r>
      <w:r>
        <w:t xml:space="preserve"> </w:t>
      </w:r>
      <w:r>
        <w:t xml:space="preserve">"The Manila Skyline Residences"</w:t>
      </w:r>
      <w:r>
        <w:br/>
      </w:r>
      <w:r>
        <w:rPr>
          <w:bCs/>
          <w:b/>
        </w:rPr>
        <w:t xml:space="preserve">Phase:</w:t>
      </w:r>
      <w:r>
        <w:t xml:space="preserve"> </w:t>
      </w:r>
      <w:r>
        <w:t xml:space="preserve">Schematic Design &amp; Conceptualization</w:t>
      </w:r>
    </w:p>
    <w:p>
      <w:pPr>
        <w:pStyle w:val="BodyText"/>
      </w:pPr>
      <w:r>
        <w:t xml:space="preserve">Dear Mr. Del Rosario,</w:t>
      </w:r>
      <w:r>
        <w:br/>
      </w:r>
      <w:r>
        <w:br/>
      </w:r>
      <w:r>
        <w:t xml:space="preserve">Thank you for entrusting Manila Heritage Architects with the design of your upcoming residential project in Metro Manila. This invoice covers the professional architectural services rendered during the initial phase of the project, adhering to the standards set by the Philippine Institute of Architects (PIA) and the Professional Regulation Commission (PRC). Our team has dedicated significant resources to ensure that the design reflects the unique cultural heritage of Manila while incorporating modern sustainable practices suitable for the tropical climate of the Philippines.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Rate / Hours</w:t>
            </w:r>
          </w:p>
        </w:tc>
        <w:tc>
          <w:tcPr/>
          <w:p>
            <w:pPr>
              <w:pStyle w:val="Compact"/>
              <w:jc w:val="left"/>
            </w:pPr>
            <w:r>
              <w:t xml:space="preserve">Amount (PHP)</w:t>
            </w:r>
          </w:p>
        </w:tc>
      </w:tr>
      <w:tr>
        <w:tc>
          <w:tcPr/>
          <w:p>
            <w:pPr>
              <w:pStyle w:val="Compact"/>
              <w:jc w:val="left"/>
            </w:pPr>
            <w:r>
              <w:t xml:space="preserve">1</w:t>
            </w:r>
          </w:p>
        </w:tc>
        <w:tc>
          <w:tcPr/>
          <w:p>
            <w:pPr>
              <w:pStyle w:val="Compact"/>
              <w:jc w:val="left"/>
            </w:pPr>
            <w:r>
              <w:rPr>
                <w:bCs/>
                <w:b/>
              </w:rPr>
              <w:t xml:space="preserve">Site Analysis and Feasibility Study</w:t>
            </w:r>
            <w:r>
              <w:br/>
            </w:r>
            <w:r>
              <w:t xml:space="preserve">Comprehensive evaluation of the property located in Pasig City, including topographical survey review, zoning regulations check under the Local Government Unit (LGU) of Pasig, and environmental impact assessment. This ensures compliance with the National Building Code of the Philippines (PD 1096).</w:t>
            </w:r>
          </w:p>
        </w:tc>
        <w:tc>
          <w:tcPr/>
          <w:p>
            <w:pPr>
              <w:pStyle w:val="Compact"/>
              <w:jc w:val="left"/>
            </w:pPr>
            <w:r>
              <w:t xml:space="preserve">Flat Fee</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Conceptual Design Development</w:t>
            </w:r>
            <w:r>
              <w:br/>
            </w:r>
            <w:r>
              <w:t xml:space="preserve">Creation of initial massing studies, floor plan layouts, and 3D visualizations. This phase involved multiple consultation meetings with the client to align the architectural vision with the client's requirements for luxury living in Manila. Includes two rounds of revisions.</w:t>
            </w:r>
          </w:p>
        </w:tc>
        <w:tc>
          <w:tcPr/>
          <w:p>
            <w:pPr>
              <w:pStyle w:val="Compact"/>
              <w:jc w:val="left"/>
            </w:pPr>
            <w:r>
              <w:t xml:space="preserve">120 Hours @ PHP 2,500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Schematic Design Presentation</w:t>
            </w:r>
            <w:r>
              <w:br/>
            </w:r>
            <w:r>
              <w:t xml:space="preserve">Preparation of high-quality presentation boards, renderings, and material palettes. This service includes a formal presentation to the client's board of directors to secure approval for the next phase of the project.</w:t>
            </w:r>
          </w:p>
        </w:tc>
        <w:tc>
          <w:tcPr/>
          <w:p>
            <w:pPr>
              <w:pStyle w:val="Compact"/>
              <w:jc w:val="left"/>
            </w:pPr>
            <w:r>
              <w:t xml:space="preserve">Flat Fee</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Coordination with Consultants</w:t>
            </w:r>
            <w:r>
              <w:br/>
            </w:r>
            <w:r>
              <w:t xml:space="preserve">Preliminary coordination with structural, mechanical, and electrical engineers to ensure the architectural concept is technically feasible within the Philippine context.</w:t>
            </w:r>
          </w:p>
        </w:tc>
        <w:tc>
          <w:tcPr/>
          <w:p>
            <w:pPr>
              <w:pStyle w:val="Compact"/>
              <w:jc w:val="left"/>
            </w:pPr>
            <w:r>
              <w:t xml:space="preserve">20 Hours @ PHP 2,500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Permitting Consultation</w:t>
            </w:r>
            <w:r>
              <w:br/>
            </w:r>
            <w:r>
              <w:t xml:space="preserve">Advisory services regarding the requirements for building permits in Metro Manila, ensuring all preliminary documents meet the standards of the Department of Public Works and Highways (DPWH) and local authorities.</w:t>
            </w:r>
          </w:p>
        </w:tc>
        <w:tc>
          <w:tcPr/>
          <w:p>
            <w:pPr>
              <w:pStyle w:val="Compact"/>
              <w:jc w:val="left"/>
            </w:pPr>
            <w:r>
              <w:t xml:space="preserve">Flat Fee</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600,000.00</w:t>
            </w:r>
          </w:p>
        </w:tc>
      </w:tr>
      <w:tr>
        <w:tc>
          <w:tcPr/>
          <w:p>
            <w:pPr>
              <w:pStyle w:val="Compact"/>
              <w:jc w:val="left"/>
            </w:pPr>
            <w:r>
              <w:t xml:space="preserve">VAT (12%):</w:t>
            </w:r>
          </w:p>
        </w:tc>
        <w:tc>
          <w:tcPr/>
          <w:p>
            <w:pPr>
              <w:pStyle w:val="Compact"/>
              <w:jc w:val="left"/>
            </w:pPr>
            <w:r>
              <w:t xml:space="preserve">72,000.00</w:t>
            </w:r>
          </w:p>
        </w:tc>
      </w:tr>
      <w:tr>
        <w:tc>
          <w:tcPr/>
          <w:p>
            <w:pPr>
              <w:pStyle w:val="Compact"/>
              <w:jc w:val="left"/>
            </w:pPr>
            <w:r>
              <w:t xml:space="preserve">Total Due:</w:t>
            </w:r>
          </w:p>
        </w:tc>
        <w:tc>
          <w:tcPr/>
          <w:p>
            <w:pPr>
              <w:pStyle w:val="Compact"/>
              <w:jc w:val="left"/>
            </w:pPr>
            <w:r>
              <w:t xml:space="preserve">672,000.00 PHP</w:t>
            </w:r>
          </w:p>
        </w:tc>
      </w:tr>
    </w:tbl>
    <w:bookmarkStart w:id="22" w:name="payment-terms-and-conditions"/>
    <w:p>
      <w:pPr>
        <w:pStyle w:val="Heading4"/>
      </w:pPr>
      <w:r>
        <w:t xml:space="preserve">Payment Terms and Conditions:</w:t>
      </w:r>
    </w:p>
    <w:p>
      <w:pPr>
        <w:numPr>
          <w:ilvl w:val="0"/>
          <w:numId w:val="1001"/>
        </w:numPr>
        <w:pStyle w:val="Compact"/>
      </w:pPr>
      <w:r>
        <w:rPr>
          <w:bCs/>
          <w:b/>
        </w:rPr>
        <w:t xml:space="preserve">Currency:</w:t>
      </w:r>
      <w:r>
        <w:t xml:space="preserve"> </w:t>
      </w:r>
      <w:r>
        <w:t xml:space="preserve">All amounts are in Philippine Pesos (PHP).</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Bank Transfer Details:</w:t>
      </w:r>
      <w:r>
        <w:br/>
      </w:r>
      <w:r>
        <w:t xml:space="preserve">Bank: BDO Unibank</w:t>
      </w:r>
      <w:r>
        <w:br/>
      </w:r>
      <w:r>
        <w:t xml:space="preserve">Account Name: Manila Heritage Architects Inc.</w:t>
      </w:r>
      <w:r>
        <w:br/>
      </w:r>
      <w:r>
        <w:t xml:space="preserve">Account Number: 1234-5678-9012</w:t>
      </w:r>
      <w:r>
        <w:br/>
      </w:r>
      <w:r>
        <w:t xml:space="preserve">Branch: Makati Main Branch</w:t>
      </w:r>
    </w:p>
    <w:p>
      <w:pPr>
        <w:numPr>
          <w:ilvl w:val="0"/>
          <w:numId w:val="1001"/>
        </w:numPr>
        <w:pStyle w:val="Compact"/>
      </w:pPr>
      <w:r>
        <w:rPr>
          <w:bCs/>
          <w:b/>
        </w:rPr>
        <w:t xml:space="preserve">Late Payment:</w:t>
      </w:r>
      <w:r>
        <w:t xml:space="preserve"> </w:t>
      </w:r>
      <w:r>
        <w:t xml:space="preserve">A late fee of 1.5% per month will be applied to overdue balances.</w:t>
      </w:r>
    </w:p>
    <w:p>
      <w:pPr>
        <w:numPr>
          <w:ilvl w:val="0"/>
          <w:numId w:val="1001"/>
        </w:numPr>
        <w:pStyle w:val="Compact"/>
      </w:pPr>
      <w:r>
        <w:rPr>
          <w:bCs/>
          <w:b/>
        </w:rPr>
        <w:t xml:space="preserve">Scope of Work:</w:t>
      </w:r>
      <w:r>
        <w:t xml:space="preserve"> </w:t>
      </w:r>
      <w:r>
        <w:t xml:space="preserve">This invoice covers only the services listed above. Additional services or changes in scope will be billed separately via a Change Order.</w:t>
      </w:r>
    </w:p>
    <w:p>
      <w:pPr>
        <w:numPr>
          <w:ilvl w:val="0"/>
          <w:numId w:val="1001"/>
        </w:numPr>
        <w:pStyle w:val="Compact"/>
      </w:pPr>
      <w:r>
        <w:rPr>
          <w:bCs/>
          <w:b/>
        </w:rPr>
        <w:t xml:space="preserve">Professional Standards:</w:t>
      </w:r>
      <w:r>
        <w:t xml:space="preserve"> </w:t>
      </w:r>
      <w:r>
        <w:t xml:space="preserve">All services are performed in accordance with the Code of Ethics of the Philippine Institute of Architects.</w:t>
      </w:r>
    </w:p>
    <w:p>
      <w:pPr>
        <w:pStyle w:val="FirstParagraph"/>
      </w:pPr>
      <w:r>
        <w:t xml:space="preserve">We appreciate your prompt attention to this invoice. Should you have any questions regarding the charges or the services provided, please do not hesitate to contact our accounts department. We look forward to continuing our collaboration on this exciting project in Manila.</w:t>
      </w:r>
    </w:p>
    <w:bookmarkEnd w:id="22"/>
    <w:p>
      <w:pPr>
        <w:pStyle w:val="BodyText"/>
      </w:pPr>
      <w:r>
        <w:t xml:space="preserve">Authorized Signature</w:t>
      </w:r>
    </w:p>
    <w:p>
      <w:pPr>
        <w:pStyle w:val="BodyText"/>
      </w:pPr>
      <w:r>
        <w:t xml:space="preserve">Maria Clara Santos, R.A.</w:t>
      </w:r>
    </w:p>
    <w:p>
      <w:pPr>
        <w:pStyle w:val="BodyText"/>
      </w:pPr>
      <w:r>
        <w:t xml:space="preserve">Principal Architect</w:t>
      </w:r>
    </w:p>
    <w:p>
      <w:pPr>
        <w:pStyle w:val="BodyText"/>
      </w:pPr>
      <w:r>
        <w:t xml:space="preserve">Manila Heritage Architects</w:t>
      </w:r>
    </w:p>
    <w:p>
      <w:pPr>
        <w:pStyle w:val="BodyText"/>
      </w:pPr>
      <w:r>
        <w:t xml:space="preserve">Received By</w:t>
      </w:r>
    </w:p>
    <w:p>
      <w:pPr>
        <w:pStyle w:val="BodyText"/>
      </w:pPr>
      <w:r>
        <w:t xml:space="preserve">__________________________</w:t>
      </w:r>
    </w:p>
    <w:p>
      <w:pPr>
        <w:pStyle w:val="BodyText"/>
      </w:pPr>
      <w:r>
        <w:t xml:space="preserve">Name &amp; Title</w:t>
      </w:r>
    </w:p>
    <w:p>
      <w:pPr>
        <w:pStyle w:val="BodyText"/>
      </w:pPr>
      <w:r>
        <w:t xml:space="preserve">Date Received</w:t>
      </w:r>
    </w:p>
    <w:p>
      <w:pPr>
        <w:pStyle w:val="BodyText"/>
      </w:pPr>
      <w:r>
        <w:t xml:space="preserve">Manila Heritage Architects Inc. | Registered in the Philippines | PRC License No. 12345</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Manila, Philippines</dc:title>
  <dc:creator/>
  <dc:language>en</dc:language>
  <cp:keywords/>
  <dcterms:created xsi:type="dcterms:W3CDTF">2026-10-10T01:15:40Z</dcterms:created>
  <dcterms:modified xsi:type="dcterms:W3CDTF">2026-10-10T01:15:40Z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