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Moscow,</w:t>
      </w:r>
      <w:r>
        <w:t xml:space="preserve"> </w:t>
      </w:r>
      <w:r>
        <w:t xml:space="preserve">Russia</w:t>
      </w:r>
    </w:p>
    <w:bookmarkStart w:id="20" w:name="red-square-architecture-studio"/>
    <w:p>
      <w:pPr>
        <w:pStyle w:val="Heading1"/>
      </w:pPr>
      <w:r>
        <w:t xml:space="preserve">Red Square Architecture Studio</w:t>
      </w:r>
    </w:p>
    <w:p>
      <w:pPr>
        <w:pStyle w:val="FirstParagraph"/>
      </w:pPr>
      <w:r>
        <w:t xml:space="preserve">General Contractor &amp; Architectural Design Firm</w:t>
      </w:r>
    </w:p>
    <w:p>
      <w:pPr>
        <w:pStyle w:val="BodyText"/>
      </w:pPr>
      <w:r>
        <w:t xml:space="preserve">12/3 Tverskaya Street, Building A, Office 405</w:t>
      </w:r>
    </w:p>
    <w:p>
      <w:pPr>
        <w:pStyle w:val="BodyText"/>
      </w:pPr>
      <w:r>
        <w:t xml:space="preserve">Moscow, Russia, 125009</w:t>
      </w:r>
    </w:p>
    <w:p>
      <w:pPr>
        <w:pStyle w:val="BodyText"/>
      </w:pPr>
      <w:r>
        <w:t xml:space="preserve">Tel: +7 (495) 123-45-67 | Email: billing@redsquarearch.ru</w:t>
      </w:r>
    </w:p>
    <w:p>
      <w:pPr>
        <w:pStyle w:val="BodyText"/>
      </w:pPr>
      <w:r>
        <w:t xml:space="preserve">INN: 7701234567 | KPP: 770101001 | OGRN: 1027700123456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INV-2023-MSK-0892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Residential Complex "Moscow Heights"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OOO "Capital Development Group"</w:t>
      </w:r>
    </w:p>
    <w:p>
      <w:pPr>
        <w:pStyle w:val="BodyText"/>
      </w:pPr>
      <w:r>
        <w:rPr>
          <w:bCs/>
          <w:b/>
        </w:rPr>
        <w:t xml:space="preserve">Address:</w:t>
      </w:r>
      <w:r>
        <w:t xml:space="preserve"> </w:t>
      </w:r>
      <w:r>
        <w:t xml:space="preserve">15 Presnenskaya Naberezhnaya, Moscow, Russia, 123317</w:t>
      </w:r>
    </w:p>
    <w:p>
      <w:pPr>
        <w:pStyle w:val="BodyText"/>
      </w:pPr>
      <w:r>
        <w:rPr>
          <w:bCs/>
          <w:b/>
        </w:rPr>
        <w:t xml:space="preserve">Contact Person:</w:t>
      </w:r>
      <w:r>
        <w:t xml:space="preserve"> </w:t>
      </w:r>
      <w:r>
        <w:t xml:space="preserve">Mr. Alexei Volkov, Chief Executive Officer</w:t>
      </w:r>
    </w:p>
    <w:p>
      <w:pPr>
        <w:pStyle w:val="BodyText"/>
      </w:pPr>
      <w:r>
        <w:rPr>
          <w:bCs/>
          <w:b/>
        </w:rPr>
        <w:t xml:space="preserve">Email:</w:t>
      </w:r>
      <w:r>
        <w:t xml:space="preserve"> </w:t>
      </w:r>
      <w:r>
        <w:t xml:space="preserve">a.volkov@capitaldev.ru</w:t>
      </w:r>
    </w:p>
    <w:p>
      <w:pPr>
        <w:pStyle w:val="BodyText"/>
      </w:pPr>
      <w:r>
        <w:rPr>
          <w:bCs/>
          <w:b/>
        </w:rPr>
        <w:t xml:space="preserve">Phone:</w:t>
      </w:r>
      <w:r>
        <w:t xml:space="preserve"> </w:t>
      </w:r>
      <w:r>
        <w:t xml:space="preserve">+7 (495) 987-65-43</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Phase I: Conceptual Design &amp; Site Analysis</w:t>
            </w:r>
            <w:r>
              <w:br/>
            </w:r>
            <w:r>
              <w:t xml:space="preserve">Comprehensive analysis of the Moscow urban planning regulations (GRNTs) for the specific district. Creation of initial massing models, site circulation plans, and preliminary aesthetic concepts tailored to the Moscow climate and architectural heritage. Includes three rounds of client presentations.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Phase II: Schematic Design &amp; 3D Visualization</w:t>
            </w:r>
            <w:r>
              <w:br/>
            </w:r>
            <w:r>
              <w:t xml:space="preserve">Development of detailed floor plans, elevations, and sections. Production of high-fidelity photorealistic 3D renderings of the exterior facade and interior common areas. Coordination with structural engineers regarding load-bearing requirements specific to Moscow soil conditions.</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3</w:t>
            </w:r>
          </w:p>
        </w:tc>
        <w:tc>
          <w:tcPr/>
          <w:p>
            <w:pPr>
              <w:pStyle w:val="Compact"/>
              <w:jc w:val="left"/>
            </w:pPr>
            <w:r>
              <w:rPr>
                <w:bCs/>
                <w:b/>
              </w:rPr>
              <w:t xml:space="preserve">Phase III: Design Development &amp; MEP Coordination</w:t>
            </w:r>
            <w:r>
              <w:br/>
            </w:r>
            <w:r>
              <w:t xml:space="preserve">Refinement of architectural details, material selection, and window specifications. Integration of Mechanical, Electrical, and Plumbing (MEP) systems into the architectural drawings. Ensuring compliance with Russian Fire Safety Codes (Federal Law No. 123-FZ) and energy efficiency standards (SP 50.13330.2012).</w:t>
            </w:r>
          </w:p>
        </w:tc>
        <w:tc>
          <w:tcPr/>
          <w:p>
            <w:pPr>
              <w:pStyle w:val="Compact"/>
              <w:jc w:val="left"/>
            </w:pPr>
            <w:r>
              <w:t xml:space="preserve">1</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4</w:t>
            </w:r>
          </w:p>
        </w:tc>
        <w:tc>
          <w:tcPr/>
          <w:p>
            <w:pPr>
              <w:pStyle w:val="Compact"/>
              <w:jc w:val="left"/>
            </w:pPr>
            <w:r>
              <w:rPr>
                <w:bCs/>
                <w:b/>
              </w:rPr>
              <w:t xml:space="preserve">Phase IV: Construction Documentation (Working Drawings)</w:t>
            </w:r>
            <w:r>
              <w:br/>
            </w:r>
            <w:r>
              <w:t xml:space="preserve">Preparation of the full set of construction documents required for the building permit application in Moscow. Includes detailed structural annotations, facade assembly details, and landscape architecture plans. Submission support for the Moscow Committee for Architecture and Urban Planning (Komarch).</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5</w:t>
            </w:r>
          </w:p>
        </w:tc>
        <w:tc>
          <w:tcPr/>
          <w:p>
            <w:pPr>
              <w:pStyle w:val="Compact"/>
              <w:jc w:val="left"/>
            </w:pPr>
            <w:r>
              <w:rPr>
                <w:bCs/>
                <w:b/>
              </w:rPr>
              <w:t xml:space="preserve">Phase V: Construction Administration &amp; Site Visits</w:t>
            </w:r>
            <w:r>
              <w:br/>
            </w:r>
            <w:r>
              <w:t xml:space="preserve">On-site supervision during the foundation and framing stages. Review of contractor submittals and material samples. Monthly progress reports and coordination meetings with the general contractor to ensure adherence to the architectural vision and Russian building codes (SNiP).</w:t>
            </w:r>
          </w:p>
        </w:tc>
        <w:tc>
          <w:tcPr/>
          <w:p>
            <w:pPr>
              <w:pStyle w:val="Compact"/>
              <w:jc w:val="left"/>
            </w:pPr>
            <w:r>
              <w:t xml:space="preserve">6</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6</w:t>
            </w:r>
          </w:p>
        </w:tc>
        <w:tc>
          <w:tcPr/>
          <w:p>
            <w:pPr>
              <w:pStyle w:val="Compact"/>
              <w:jc w:val="left"/>
            </w:pPr>
            <w:r>
              <w:rPr>
                <w:bCs/>
                <w:b/>
              </w:rPr>
              <w:t xml:space="preserve">Additional Services: Interior Design Consultation</w:t>
            </w:r>
            <w:r>
              <w:br/>
            </w:r>
            <w:r>
              <w:t xml:space="preserve">Preliminary interior layout planning for the lobby and penthouse units. Selection of finishes and fixtures that align with the exterior architectural language.</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bl>
    <w:p>
      <w:pPr>
        <w:pStyle w:val="BodyText"/>
      </w:pPr>
      <w:r>
        <w:t xml:space="preserve">Subtotal:</w:t>
      </w:r>
      <w:r>
        <w:t xml:space="preserve"> </w:t>
      </w:r>
      <w:r>
        <w:t xml:space="preserve">4,260,000.00 RUB</w:t>
      </w:r>
    </w:p>
    <w:p>
      <w:pPr>
        <w:pStyle w:val="BodyText"/>
      </w:pPr>
      <w:r>
        <w:t xml:space="preserve">VAT (20%):</w:t>
      </w:r>
      <w:r>
        <w:t xml:space="preserve"> </w:t>
      </w:r>
      <w:r>
        <w:t xml:space="preserve">852,000.00 RUB</w:t>
      </w:r>
    </w:p>
    <w:p>
      <w:pPr>
        <w:pStyle w:val="BodyText"/>
      </w:pPr>
      <w:r>
        <w:t xml:space="preserve">TOTAL DUE:</w:t>
      </w:r>
      <w:r>
        <w:t xml:space="preserve"> </w:t>
      </w:r>
      <w:r>
        <w:t xml:space="preserve">5,112,000.00 RUB</w:t>
      </w:r>
    </w:p>
    <w:bookmarkStart w:id="23" w:name="terms-and-conditions"/>
    <w:p>
      <w:pPr>
        <w:pStyle w:val="Heading4"/>
      </w:pPr>
      <w:r>
        <w:t xml:space="preserve">Terms and Conditions:</w:t>
      </w:r>
    </w:p>
    <w:p>
      <w:pPr>
        <w:pStyle w:val="FirstParagraph"/>
      </w:pPr>
      <w:r>
        <w:t xml:space="preserve">1. Payment is due within 14 days of the invoice date. Late payments will incur a penalty of 0.1% per day on the outstanding balance, in accordance with the Civil Code of the Russian Federation.</w:t>
      </w:r>
    </w:p>
    <w:p>
      <w:pPr>
        <w:pStyle w:val="BodyText"/>
      </w:pPr>
      <w:r>
        <w:t xml:space="preserve">2. All architectural designs and drawings remain the intellectual property of Red Square Architecture Studio until full payment is received.</w:t>
      </w:r>
    </w:p>
    <w:p>
      <w:pPr>
        <w:pStyle w:val="BodyText"/>
      </w:pPr>
      <w:r>
        <w:t xml:space="preserve">3. This invoice covers services rendered in Moscow, Russia. Any travel outside the Moscow region for site visits will be billed separately at an agreed-upon hourly rate plus expenses.</w:t>
      </w:r>
    </w:p>
    <w:p>
      <w:pPr>
        <w:pStyle w:val="BodyText"/>
      </w:pPr>
      <w:r>
        <w:t xml:space="preserve">4. Changes to the scope of work after the approval of Phase II will require a Change Order and may affect the project timeline and cost.</w:t>
      </w:r>
    </w:p>
    <w:p>
      <w:pPr>
        <w:pStyle w:val="BodyText"/>
      </w:pPr>
      <w:r>
        <w:t xml:space="preserve">5. Disputes arising from this agreement shall be resolved in the Arbitration Court of Moscow.</w:t>
      </w:r>
    </w:p>
    <w:bookmarkEnd w:id="23"/>
    <w:bookmarkStart w:id="24" w:name="bank-transfer-details"/>
    <w:p>
      <w:pPr>
        <w:pStyle w:val="Heading4"/>
      </w:pPr>
      <w:r>
        <w:t xml:space="preserve">Bank Transfer Details:</w:t>
      </w:r>
    </w:p>
    <w:p>
      <w:pPr>
        <w:pStyle w:val="FirstParagraph"/>
      </w:pPr>
      <w:r>
        <w:rPr>
          <w:bCs/>
          <w:b/>
        </w:rPr>
        <w:t xml:space="preserve">Beneficiary:</w:t>
      </w:r>
      <w:r>
        <w:t xml:space="preserve"> </w:t>
      </w:r>
      <w:r>
        <w:t xml:space="preserve">Red Square Architecture Studio LLC</w:t>
      </w:r>
    </w:p>
    <w:p>
      <w:pPr>
        <w:pStyle w:val="BodyText"/>
      </w:pPr>
      <w:r>
        <w:rPr>
          <w:bCs/>
          <w:b/>
        </w:rPr>
        <w:t xml:space="preserve">Bank Name:</w:t>
      </w:r>
      <w:r>
        <w:t xml:space="preserve"> </w:t>
      </w:r>
      <w:r>
        <w:t xml:space="preserve">Sberbank of Russia</w:t>
      </w:r>
    </w:p>
    <w:p>
      <w:pPr>
        <w:pStyle w:val="BodyText"/>
      </w:pPr>
      <w:r>
        <w:rPr>
          <w:bCs/>
          <w:b/>
        </w:rPr>
        <w:t xml:space="preserve">Account Number:</w:t>
      </w:r>
      <w:r>
        <w:t xml:space="preserve"> </w:t>
      </w:r>
      <w:r>
        <w:t xml:space="preserve">40702810938000123456</w:t>
      </w:r>
    </w:p>
    <w:p>
      <w:pPr>
        <w:pStyle w:val="BodyText"/>
      </w:pPr>
      <w:r>
        <w:rPr>
          <w:bCs/>
          <w:b/>
        </w:rPr>
        <w:t xml:space="preserve">BIC/SWIFT:</w:t>
      </w:r>
      <w:r>
        <w:t xml:space="preserve"> </w:t>
      </w:r>
      <w:r>
        <w:t xml:space="preserve">SABRRUMM</w:t>
      </w:r>
    </w:p>
    <w:p>
      <w:pPr>
        <w:pStyle w:val="BodyText"/>
      </w:pPr>
      <w:r>
        <w:rPr>
          <w:bCs/>
          <w:b/>
        </w:rPr>
        <w:t xml:space="preserve">Correspondent Account:</w:t>
      </w:r>
      <w:r>
        <w:t xml:space="preserve"> </w:t>
      </w:r>
      <w:r>
        <w:t xml:space="preserve">30101810400000000225</w:t>
      </w:r>
    </w:p>
    <w:p>
      <w:pPr>
        <w:pStyle w:val="BodyText"/>
      </w:pPr>
      <w:r>
        <w:rPr>
          <w:bCs/>
          <w:b/>
        </w:rPr>
        <w:t xml:space="preserve">Payment Reference:</w:t>
      </w:r>
      <w:r>
        <w:t xml:space="preserve"> </w:t>
      </w:r>
      <w:r>
        <w:t xml:space="preserve">INV-2023-MSK-0892</w:t>
      </w:r>
    </w:p>
    <w:bookmarkEnd w:id="24"/>
    <w:p>
      <w:pPr>
        <w:pStyle w:val="BodyText"/>
      </w:pPr>
      <w:r>
        <w:t xml:space="preserve">Thank you for choosing Red Square Architecture Studio for your project in Moscow.</w:t>
      </w:r>
    </w:p>
    <w:p>
      <w:pPr>
        <w:pStyle w:val="BodyText"/>
      </w:pPr>
      <w:r>
        <w:t xml:space="preserve">This is a computer-generated invoice and does not require a physical signature.</w:t>
      </w:r>
    </w:p>
    <w:p>
      <w:pPr>
        <w:pStyle w:val="BodyText"/>
      </w:pPr>
      <w:r>
        <w:t xml:space="preserve">© 2023 Red Square Architecture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Moscow, Russia</dc:title>
  <dc:creator/>
  <dc:language>en</dc:language>
  <cp:keywords/>
  <dcterms:created xsi:type="dcterms:W3CDTF">2026-10-10T06:24:45Z</dcterms:created>
  <dcterms:modified xsi:type="dcterms:W3CDTF">2026-10-10T06:24:45Z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