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Professional</w:t>
      </w:r>
      <w:r>
        <w:t xml:space="preserve"> </w:t>
      </w:r>
      <w:r>
        <w:t xml:space="preserve">Architectural</w:t>
      </w:r>
      <w:r>
        <w:t xml:space="preserve"> </w:t>
      </w:r>
      <w:r>
        <w:t xml:space="preserve">Services</w:t>
      </w:r>
      <w:r>
        <w:t xml:space="preserve"> </w:t>
      </w:r>
      <w:r>
        <w:t xml:space="preserve">Invoice</w:t>
      </w:r>
      <w:r>
        <w:t xml:space="preserve"> </w:t>
      </w:r>
      <w:r>
        <w:t xml:space="preserve">-</w:t>
      </w:r>
      <w:r>
        <w:t xml:space="preserve"> </w:t>
      </w:r>
      <w:r>
        <w:t xml:space="preserve">Valencia,</w:t>
      </w:r>
      <w:r>
        <w:t xml:space="preserve"> </w:t>
      </w:r>
      <w:r>
        <w:t xml:space="preserve">Spain</w:t>
      </w:r>
    </w:p>
    <w:bookmarkStart w:id="20" w:name="valencia-architectural-studio"/>
    <w:p>
      <w:pPr>
        <w:pStyle w:val="Heading1"/>
      </w:pPr>
      <w:r>
        <w:t xml:space="preserve">Valencia Architectural Studio</w:t>
      </w:r>
    </w:p>
    <w:p>
      <w:pPr>
        <w:pStyle w:val="FirstParagraph"/>
      </w:pPr>
      <w:r>
        <w:rPr>
          <w:bCs/>
          <w:b/>
        </w:rPr>
        <w:t xml:space="preserve">Collegiate Architect:</w:t>
      </w:r>
      <w:r>
        <w:t xml:space="preserve"> </w:t>
      </w:r>
      <w:r>
        <w:t xml:space="preserve">Juan Carlos Martinez</w:t>
      </w:r>
    </w:p>
    <w:p>
      <w:pPr>
        <w:pStyle w:val="BodyText"/>
      </w:pPr>
      <w:r>
        <w:t xml:space="preserve">C/ Colón, 45, 4º B</w:t>
      </w:r>
    </w:p>
    <w:p>
      <w:pPr>
        <w:pStyle w:val="BodyText"/>
      </w:pPr>
      <w:r>
        <w:t xml:space="preserve">46004 Valencia, Spain</w:t>
      </w:r>
    </w:p>
    <w:p>
      <w:pPr>
        <w:pStyle w:val="BodyText"/>
      </w:pPr>
      <w:r>
        <w:t xml:space="preserve">NIF: B-12345678</w:t>
      </w:r>
    </w:p>
    <w:p>
      <w:pPr>
        <w:pStyle w:val="BodyText"/>
      </w:pPr>
      <w:r>
        <w:t xml:space="preserve">Professional License: COAV-4589</w:t>
      </w:r>
    </w:p>
    <w:p>
      <w:pPr>
        <w:pStyle w:val="BodyText"/>
      </w:pPr>
      <w:r>
        <w:t xml:space="preserve">Email: billing@valenciaarchstudio.es</w:t>
      </w:r>
    </w:p>
    <w:p>
      <w:pPr>
        <w:pStyle w:val="BodyText"/>
      </w:pPr>
      <w:r>
        <w:t xml:space="preserve">Phone: +34 960 123 456</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INV-2023-089</w:t>
      </w:r>
    </w:p>
    <w:p>
      <w:pPr>
        <w:pStyle w:val="BodyText"/>
      </w:pPr>
      <w:r>
        <w:rPr>
          <w:bCs/>
          <w:b/>
        </w:rPr>
        <w:t xml:space="preserve">Date of Issue:</w:t>
      </w:r>
      <w:r>
        <w:t xml:space="preserve"> </w:t>
      </w:r>
      <w:r>
        <w:t xml:space="preserve">October 24, 2023</w:t>
      </w:r>
    </w:p>
    <w:p>
      <w:pPr>
        <w:pStyle w:val="BodyText"/>
      </w:pPr>
      <w:r>
        <w:rPr>
          <w:bCs/>
          <w:b/>
        </w:rPr>
        <w:t xml:space="preserve">Due Date:</w:t>
      </w:r>
      <w:r>
        <w:t xml:space="preserve"> </w:t>
      </w:r>
      <w:r>
        <w:t xml:space="preserve">November 24, 2023</w:t>
      </w:r>
    </w:p>
    <w:p>
      <w:pPr>
        <w:pStyle w:val="BodyText"/>
      </w:pPr>
      <w:r>
        <w:rPr>
          <w:bCs/>
          <w:b/>
        </w:rPr>
        <w:t xml:space="preserve">Payment Reference:</w:t>
      </w:r>
      <w:r>
        <w:t xml:space="preserve"> </w:t>
      </w:r>
      <w:r>
        <w:t xml:space="preserve">VA-2023-089</w:t>
      </w:r>
    </w:p>
    <w:bookmarkEnd w:id="21"/>
    <w:bookmarkStart w:id="22" w:name="bill-to"/>
    <w:p>
      <w:pPr>
        <w:pStyle w:val="Heading3"/>
      </w:pPr>
      <w:r>
        <w:t xml:space="preserve">Bill To:</w:t>
      </w:r>
    </w:p>
    <w:p>
      <w:pPr>
        <w:pStyle w:val="FirstParagraph"/>
      </w:pPr>
      <w:r>
        <w:rPr>
          <w:bCs/>
          <w:b/>
        </w:rPr>
        <w:t xml:space="preserve">Client Name:</w:t>
      </w:r>
      <w:r>
        <w:t xml:space="preserve"> </w:t>
      </w:r>
      <w:r>
        <w:t xml:space="preserve">Maria Elena Rodriguez</w:t>
      </w:r>
    </w:p>
    <w:p>
      <w:pPr>
        <w:pStyle w:val="BodyText"/>
      </w:pPr>
      <w:r>
        <w:rPr>
          <w:bCs/>
          <w:b/>
        </w:rPr>
        <w:t xml:space="preserve">Company:</w:t>
      </w:r>
      <w:r>
        <w:t xml:space="preserve"> </w:t>
      </w:r>
      <w:r>
        <w:t xml:space="preserve">Rodriguez Holdings S.L.</w:t>
      </w:r>
    </w:p>
    <w:p>
      <w:pPr>
        <w:pStyle w:val="BodyText"/>
      </w:pPr>
      <w:r>
        <w:t xml:space="preserve">C/ de la Paz, 12, 3º A</w:t>
      </w:r>
    </w:p>
    <w:p>
      <w:pPr>
        <w:pStyle w:val="BodyText"/>
      </w:pPr>
      <w:r>
        <w:t xml:space="preserve">46003 Valencia, Spain</w:t>
      </w:r>
    </w:p>
    <w:p>
      <w:pPr>
        <w:pStyle w:val="BodyText"/>
      </w:pPr>
      <w:r>
        <w:t xml:space="preserve">NIF: B-87654321</w:t>
      </w:r>
    </w:p>
    <w:bookmarkEnd w:id="22"/>
    <w:bookmarkStart w:id="23" w:name="project-details"/>
    <w:p>
      <w:pPr>
        <w:pStyle w:val="Heading3"/>
      </w:pPr>
      <w:r>
        <w:t xml:space="preserve">Project Details:</w:t>
      </w:r>
    </w:p>
    <w:p>
      <w:pPr>
        <w:pStyle w:val="FirstParagraph"/>
      </w:pPr>
      <w:r>
        <w:rPr>
          <w:bCs/>
          <w:b/>
        </w:rPr>
        <w:t xml:space="preserve">Project Name:</w:t>
      </w:r>
      <w:r>
        <w:t xml:space="preserve"> </w:t>
      </w:r>
      <w:r>
        <w:t xml:space="preserve">Modernist Renovation - Ruzafa District</w:t>
      </w:r>
    </w:p>
    <w:p>
      <w:pPr>
        <w:pStyle w:val="BodyText"/>
      </w:pPr>
      <w:r>
        <w:rPr>
          <w:bCs/>
          <w:b/>
        </w:rPr>
        <w:t xml:space="preserve">Project Address:</w:t>
      </w:r>
      <w:r>
        <w:t xml:space="preserve"> </w:t>
      </w:r>
      <w:r>
        <w:t xml:space="preserve">C/ de la Xerea, 8, 46006 Valencia</w:t>
      </w:r>
    </w:p>
    <w:p>
      <w:pPr>
        <w:pStyle w:val="BodyText"/>
      </w:pPr>
      <w:r>
        <w:rPr>
          <w:bCs/>
          <w:b/>
        </w:rPr>
        <w:t xml:space="preserve">Phase:</w:t>
      </w:r>
      <w:r>
        <w:t xml:space="preserve"> </w:t>
      </w:r>
      <w:r>
        <w:t xml:space="preserve">Technical Project &amp; Construction Supervision</w:t>
      </w:r>
    </w:p>
    <w:bookmarkEnd w:id="23"/>
    <w:p>
      <w:pPr>
        <w:pStyle w:val="BodyText"/>
      </w:pPr>
      <w:r>
        <w:rPr>
          <w:bCs/>
          <w:b/>
        </w:rPr>
        <w:t xml:space="preserve">Scope of Services:</w:t>
      </w:r>
      <w:r>
        <w:t xml:space="preserve"> </w:t>
      </w:r>
      <w:r>
        <w:t xml:space="preserve">This invoice covers the professional architectural services rendered by Valencia Architectural Studio for the comprehensive renovation of the residential property located in Valencia, Spain. The services include the development of the preliminary design, the execution of the technical project required for municipal licensing in Valencia, and the initial phase of construction supervision. All work has been conducted in strict accordance with the Spanish Technical Building Code (CTE) and local Valencia urban planning regulations.</w:t>
      </w:r>
    </w:p>
    <w:tbl>
      <w:tblPr>
        <w:tblStyle w:val="Table"/>
        <w:tblW w:type="auto" w:w="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Quantity / Hours</w:t>
            </w:r>
          </w:p>
        </w:tc>
        <w:tc>
          <w:tcPr/>
          <w:p>
            <w:pPr>
              <w:pStyle w:val="Compact"/>
              <w:jc w:val="left"/>
            </w:pPr>
            <w:r>
              <w:t xml:space="preserve">Unit Price (€)</w:t>
            </w:r>
          </w:p>
        </w:tc>
        <w:tc>
          <w:tcPr/>
          <w:p>
            <w:pPr>
              <w:pStyle w:val="Compact"/>
              <w:jc w:val="left"/>
            </w:pPr>
            <w:r>
              <w:t xml:space="preserve">Total (€)</w:t>
            </w:r>
          </w:p>
        </w:tc>
      </w:tr>
      <w:tr>
        <w:tc>
          <w:tcPr/>
          <w:p>
            <w:pPr>
              <w:pStyle w:val="Compact"/>
              <w:jc w:val="left"/>
            </w:pPr>
            <w:r>
              <w:t xml:space="preserve">1</w:t>
            </w:r>
          </w:p>
        </w:tc>
        <w:tc>
          <w:tcPr/>
          <w:p>
            <w:pPr>
              <w:pStyle w:val="Compact"/>
              <w:jc w:val="left"/>
            </w:pPr>
            <w:r>
              <w:rPr>
                <w:bCs/>
                <w:b/>
              </w:rPr>
              <w:t xml:space="preserve">Preliminary Design Phase:</w:t>
            </w:r>
            <w:r>
              <w:t xml:space="preserve"> </w:t>
            </w:r>
            <w:r>
              <w:t xml:space="preserve">Site analysis, conceptual sketches, and 3D visualization of the interior layout optimization for the Valencia property.</w:t>
            </w:r>
          </w:p>
        </w:tc>
        <w:tc>
          <w:tcPr/>
          <w:p>
            <w:pPr>
              <w:pStyle w:val="Compact"/>
              <w:jc w:val="left"/>
            </w:pPr>
            <w:r>
              <w:t xml:space="preserve">1</w:t>
            </w:r>
          </w:p>
        </w:tc>
        <w:tc>
          <w:tcPr/>
          <w:p>
            <w:pPr>
              <w:pStyle w:val="Compact"/>
              <w:jc w:val="left"/>
            </w:pPr>
            <w:r>
              <w:t xml:space="preserve">2,500.00</w:t>
            </w:r>
          </w:p>
        </w:tc>
        <w:tc>
          <w:tcPr/>
          <w:p>
            <w:pPr>
              <w:pStyle w:val="Compact"/>
              <w:jc w:val="left"/>
            </w:pPr>
            <w:r>
              <w:t xml:space="preserve">2,500.00</w:t>
            </w:r>
          </w:p>
        </w:tc>
      </w:tr>
      <w:tr>
        <w:tc>
          <w:tcPr/>
          <w:p>
            <w:pPr>
              <w:pStyle w:val="Compact"/>
              <w:jc w:val="left"/>
            </w:pPr>
            <w:r>
              <w:t xml:space="preserve">2</w:t>
            </w:r>
          </w:p>
        </w:tc>
        <w:tc>
          <w:tcPr/>
          <w:p>
            <w:pPr>
              <w:pStyle w:val="Compact"/>
              <w:jc w:val="left"/>
            </w:pPr>
            <w:r>
              <w:rPr>
                <w:bCs/>
                <w:b/>
              </w:rPr>
              <w:t xml:space="preserve">Technical Project Development:</w:t>
            </w:r>
            <w:r>
              <w:t xml:space="preserve"> </w:t>
            </w:r>
            <w:r>
              <w:t xml:space="preserve">Preparation of structural, architectural, and installation plans compliant with CTE regulations for submission to the Valencia City Council.</w:t>
            </w:r>
          </w:p>
        </w:tc>
        <w:tc>
          <w:tcPr/>
          <w:p>
            <w:pPr>
              <w:pStyle w:val="Compact"/>
              <w:jc w:val="left"/>
            </w:pPr>
            <w:r>
              <w:t xml:space="preserve">1</w:t>
            </w:r>
          </w:p>
        </w:tc>
        <w:tc>
          <w:tcPr/>
          <w:p>
            <w:pPr>
              <w:pStyle w:val="Compact"/>
              <w:jc w:val="left"/>
            </w:pPr>
            <w:r>
              <w:t xml:space="preserve">4,800.00</w:t>
            </w:r>
          </w:p>
        </w:tc>
        <w:tc>
          <w:tcPr/>
          <w:p>
            <w:pPr>
              <w:pStyle w:val="Compact"/>
              <w:jc w:val="left"/>
            </w:pPr>
            <w:r>
              <w:t xml:space="preserve">4,800.00</w:t>
            </w:r>
          </w:p>
        </w:tc>
      </w:tr>
      <w:tr>
        <w:tc>
          <w:tcPr/>
          <w:p>
            <w:pPr>
              <w:pStyle w:val="Compact"/>
              <w:jc w:val="left"/>
            </w:pPr>
            <w:r>
              <w:t xml:space="preserve">3</w:t>
            </w:r>
          </w:p>
        </w:tc>
        <w:tc>
          <w:tcPr/>
          <w:p>
            <w:pPr>
              <w:pStyle w:val="Compact"/>
              <w:jc w:val="left"/>
            </w:pPr>
            <w:r>
              <w:rPr>
                <w:bCs/>
                <w:b/>
              </w:rPr>
              <w:t xml:space="preserve">Administrative Management:</w:t>
            </w:r>
            <w:r>
              <w:t xml:space="preserve"> </w:t>
            </w:r>
            <w:r>
              <w:t xml:space="preserve">Filing of the building permit application and coordination with local Valencia authorities and technical inspectors.</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4</w:t>
            </w:r>
          </w:p>
        </w:tc>
        <w:tc>
          <w:tcPr/>
          <w:p>
            <w:pPr>
              <w:pStyle w:val="Compact"/>
              <w:jc w:val="left"/>
            </w:pPr>
            <w:r>
              <w:rPr>
                <w:bCs/>
                <w:b/>
              </w:rPr>
              <w:t xml:space="preserve">Construction Supervision (Month 1):</w:t>
            </w:r>
            <w:r>
              <w:t xml:space="preserve"> </w:t>
            </w:r>
            <w:r>
              <w:t xml:space="preserve">On-site visits to ensure adherence to the architectural plans, material quality checks, and coordination with contractors.</w:t>
            </w:r>
          </w:p>
        </w:tc>
        <w:tc>
          <w:tcPr/>
          <w:p>
            <w:pPr>
              <w:pStyle w:val="Compact"/>
              <w:jc w:val="left"/>
            </w:pPr>
            <w:r>
              <w:t xml:space="preserve">8</w:t>
            </w:r>
          </w:p>
        </w:tc>
        <w:tc>
          <w:tcPr/>
          <w:p>
            <w:pPr>
              <w:pStyle w:val="Compact"/>
              <w:jc w:val="left"/>
            </w:pPr>
            <w:r>
              <w:t xml:space="preserve">150.00</w:t>
            </w:r>
          </w:p>
        </w:tc>
        <w:tc>
          <w:tcPr/>
          <w:p>
            <w:pPr>
              <w:pStyle w:val="Compact"/>
              <w:jc w:val="left"/>
            </w:pPr>
            <w:r>
              <w:t xml:space="preserve">1,200.00</w:t>
            </w:r>
          </w:p>
        </w:tc>
      </w:tr>
      <w:tr>
        <w:tc>
          <w:tcPr/>
          <w:p>
            <w:pPr>
              <w:pStyle w:val="Compact"/>
              <w:jc w:val="left"/>
            </w:pPr>
            <w:r>
              <w:t xml:space="preserve">5</w:t>
            </w:r>
          </w:p>
        </w:tc>
        <w:tc>
          <w:tcPr/>
          <w:p>
            <w:pPr>
              <w:pStyle w:val="Compact"/>
              <w:jc w:val="left"/>
            </w:pPr>
            <w:r>
              <w:rPr>
                <w:bCs/>
                <w:b/>
              </w:rPr>
              <w:t xml:space="preserve">Consultation &amp; Meetings:</w:t>
            </w:r>
            <w:r>
              <w:t xml:space="preserve"> </w:t>
            </w:r>
            <w:r>
              <w:t xml:space="preserve">Client meetings held in Valencia to discuss design adjustments and budget approvals.</w:t>
            </w:r>
          </w:p>
        </w:tc>
        <w:tc>
          <w:tcPr/>
          <w:p>
            <w:pPr>
              <w:pStyle w:val="Compact"/>
              <w:jc w:val="left"/>
            </w:pPr>
            <w:r>
              <w:t xml:space="preserve">4</w:t>
            </w:r>
          </w:p>
        </w:tc>
        <w:tc>
          <w:tcPr/>
          <w:p>
            <w:pPr>
              <w:pStyle w:val="Compact"/>
              <w:jc w:val="left"/>
            </w:pPr>
            <w:r>
              <w:t xml:space="preserve">120.00</w:t>
            </w:r>
          </w:p>
        </w:tc>
        <w:tc>
          <w:tcPr/>
          <w:p>
            <w:pPr>
              <w:pStyle w:val="Compact"/>
              <w:jc w:val="left"/>
            </w:pPr>
            <w:r>
              <w:t xml:space="preserve">480.00</w:t>
            </w:r>
          </w:p>
        </w:tc>
      </w:tr>
    </w:tbl>
    <w:p>
      <w:pPr>
        <w:pStyle w:val="BodyText"/>
      </w:pPr>
      <w:r>
        <w:t xml:space="preserve">Subtotal:</w:t>
      </w:r>
      <w:r>
        <w:t xml:space="preserve"> </w:t>
      </w:r>
      <w:r>
        <w:t xml:space="preserve">10,180.00 €</w:t>
      </w:r>
    </w:p>
    <w:p>
      <w:pPr>
        <w:pStyle w:val="BodyText"/>
      </w:pPr>
      <w:r>
        <w:t xml:space="preserve">VAT (IVA) 21%:</w:t>
      </w:r>
      <w:r>
        <w:t xml:space="preserve"> </w:t>
      </w:r>
      <w:r>
        <w:t xml:space="preserve">2,137.80 €</w:t>
      </w:r>
    </w:p>
    <w:p>
      <w:pPr>
        <w:pStyle w:val="BodyText"/>
      </w:pPr>
      <w:r>
        <w:t xml:space="preserve">TOTAL AMOUNT DUE:</w:t>
      </w:r>
      <w:r>
        <w:t xml:space="preserve"> </w:t>
      </w:r>
      <w:r>
        <w:t xml:space="preserve">12,317.80 €</w:t>
      </w:r>
    </w:p>
    <w:bookmarkStart w:id="24" w:name="terms-and-conditions-of-payment"/>
    <w:p>
      <w:pPr>
        <w:pStyle w:val="Heading4"/>
      </w:pPr>
      <w:r>
        <w:t xml:space="preserve">Terms and Conditions of Payment:</w:t>
      </w:r>
    </w:p>
    <w:p>
      <w:pPr>
        <w:numPr>
          <w:ilvl w:val="0"/>
          <w:numId w:val="1001"/>
        </w:numPr>
        <w:pStyle w:val="Compact"/>
      </w:pPr>
      <w:r>
        <w:rPr>
          <w:bCs/>
          <w:b/>
        </w:rPr>
        <w:t xml:space="preserve">Payment Method:</w:t>
      </w:r>
      <w:r>
        <w:t xml:space="preserve"> </w:t>
      </w:r>
      <w:r>
        <w:t xml:space="preserve">Bank Transfer (SEPA) to the account details provided below.</w:t>
      </w:r>
    </w:p>
    <w:p>
      <w:pPr>
        <w:numPr>
          <w:ilvl w:val="0"/>
          <w:numId w:val="1001"/>
        </w:numPr>
        <w:pStyle w:val="Compact"/>
      </w:pPr>
      <w:r>
        <w:rPr>
          <w:bCs/>
          <w:b/>
        </w:rPr>
        <w:t xml:space="preserve">Bank Name:</w:t>
      </w:r>
      <w:r>
        <w:t xml:space="preserve"> </w:t>
      </w:r>
      <w:r>
        <w:t xml:space="preserve">Banco Santander, Valencia Branch.</w:t>
      </w:r>
    </w:p>
    <w:p>
      <w:pPr>
        <w:numPr>
          <w:ilvl w:val="0"/>
          <w:numId w:val="1001"/>
        </w:numPr>
        <w:pStyle w:val="Compact"/>
      </w:pPr>
      <w:r>
        <w:rPr>
          <w:bCs/>
          <w:b/>
        </w:rPr>
        <w:t xml:space="preserve">IBAN:</w:t>
      </w:r>
      <w:r>
        <w:t xml:space="preserve"> </w:t>
      </w:r>
      <w:r>
        <w:t xml:space="preserve">ES12 0049 1234 5678 9012 3456</w:t>
      </w:r>
    </w:p>
    <w:p>
      <w:pPr>
        <w:numPr>
          <w:ilvl w:val="0"/>
          <w:numId w:val="1001"/>
        </w:numPr>
        <w:pStyle w:val="Compact"/>
      </w:pPr>
      <w:r>
        <w:rPr>
          <w:bCs/>
          <w:b/>
        </w:rPr>
        <w:t xml:space="preserve">BIC/SWIFT:</w:t>
      </w:r>
      <w:r>
        <w:t xml:space="preserve"> </w:t>
      </w:r>
      <w:r>
        <w:t xml:space="preserve">BSCHESMM</w:t>
      </w:r>
    </w:p>
    <w:p>
      <w:pPr>
        <w:numPr>
          <w:ilvl w:val="0"/>
          <w:numId w:val="1001"/>
        </w:numPr>
        <w:pStyle w:val="Compact"/>
      </w:pPr>
      <w:r>
        <w:rPr>
          <w:bCs/>
          <w:b/>
        </w:rPr>
        <w:t xml:space="preserve">Due Date:</w:t>
      </w:r>
      <w:r>
        <w:t xml:space="preserve"> </w:t>
      </w:r>
      <w:r>
        <w:t xml:space="preserve">Payment is due within 30 days from the date of this invoice. Late payments may incur interest charges as per Spanish commercial law.</w:t>
      </w:r>
    </w:p>
    <w:p>
      <w:pPr>
        <w:numPr>
          <w:ilvl w:val="0"/>
          <w:numId w:val="1001"/>
        </w:numPr>
        <w:pStyle w:val="Compact"/>
      </w:pPr>
      <w:r>
        <w:rPr>
          <w:bCs/>
          <w:b/>
        </w:rPr>
        <w:t xml:space="preserve">Validity:</w:t>
      </w:r>
      <w:r>
        <w:t xml:space="preserve"> </w:t>
      </w:r>
      <w:r>
        <w:t xml:space="preserve">This invoice is valid for the services rendered during the period of September 1, 2023, to October 20, 2023.</w:t>
      </w:r>
    </w:p>
    <w:p>
      <w:pPr>
        <w:numPr>
          <w:ilvl w:val="0"/>
          <w:numId w:val="1001"/>
        </w:numPr>
        <w:pStyle w:val="Compact"/>
      </w:pPr>
      <w:r>
        <w:rPr>
          <w:bCs/>
          <w:b/>
        </w:rPr>
        <w:t xml:space="preserve">Legal Compliance:</w:t>
      </w:r>
      <w:r>
        <w:t xml:space="preserve"> </w:t>
      </w:r>
      <w:r>
        <w:t xml:space="preserve">All services are provided in accordance with the regulations of the Colegio Oficial de Arquitectos de Valencia (COAV) and Spanish tax laws.</w:t>
      </w:r>
    </w:p>
    <w:p>
      <w:pPr>
        <w:numPr>
          <w:ilvl w:val="0"/>
          <w:numId w:val="1001"/>
        </w:numPr>
        <w:pStyle w:val="Compact"/>
      </w:pPr>
      <w:r>
        <w:rPr>
          <w:bCs/>
          <w:b/>
        </w:rPr>
        <w:t xml:space="preserve">Disputes:</w:t>
      </w:r>
      <w:r>
        <w:t xml:space="preserve"> </w:t>
      </w:r>
      <w:r>
        <w:t xml:space="preserve">Any disputes regarding this invoice must be raised in writing within 15 days of receipt. Failure to do so will be considered acceptance of the charges.</w:t>
      </w:r>
    </w:p>
    <w:p>
      <w:pPr>
        <w:numPr>
          <w:ilvl w:val="0"/>
          <w:numId w:val="1001"/>
        </w:numPr>
        <w:pStyle w:val="Compact"/>
      </w:pPr>
      <w:r>
        <w:rPr>
          <w:bCs/>
          <w:b/>
        </w:rPr>
        <w:t xml:space="preserve">Confidentiality:</w:t>
      </w:r>
      <w:r>
        <w:t xml:space="preserve"> </w:t>
      </w:r>
      <w:r>
        <w:t xml:space="preserve">All project details and client information are treated with strict confidentiality in accordance with GDPR regulations applicable in Spain.</w:t>
      </w:r>
    </w:p>
    <w:bookmarkEnd w:id="24"/>
    <w:p>
      <w:pPr>
        <w:pStyle w:val="FirstParagraph"/>
      </w:pPr>
      <w:r>
        <w:t xml:space="preserve">Thank you for your business. We look forward to continuing our collaboration on this exciting project in Valencia, Spain.</w:t>
      </w:r>
    </w:p>
    <w:p>
      <w:pPr>
        <w:pStyle w:val="BodyText"/>
      </w:pPr>
      <w:r>
        <w:t xml:space="preserve">Valencia Architectural Studio © 2023.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Architectural Services Invoice - Valencia, Spain</dc:title>
  <dc:creator/>
  <dc:language>en</dc:language>
  <cp:keywords/>
  <dcterms:created xsi:type="dcterms:W3CDTF">2026-10-10T02:10:22Z</dcterms:created>
  <dcterms:modified xsi:type="dcterms:W3CDTF">2026-10-10T02:10:22Z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