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Khartoum,</w:t>
      </w:r>
      <w:r>
        <w:t xml:space="preserve"> </w:t>
      </w:r>
      <w:r>
        <w:t xml:space="preserve">Sudan</w:t>
      </w:r>
    </w:p>
    <w:bookmarkStart w:id="20" w:name="nile-valley-architectural-studio"/>
    <w:p>
      <w:pPr>
        <w:pStyle w:val="Heading1"/>
      </w:pPr>
      <w:r>
        <w:t xml:space="preserve">Nile Valley Architectural Studio</w:t>
      </w:r>
    </w:p>
    <w:p>
      <w:pPr>
        <w:pStyle w:val="FirstParagraph"/>
      </w:pPr>
      <w:r>
        <w:rPr>
          <w:bCs/>
          <w:b/>
        </w:rPr>
        <w:t xml:space="preserve">Professional Architectural Services</w:t>
      </w:r>
    </w:p>
    <w:p>
      <w:pPr>
        <w:pStyle w:val="BodyText"/>
      </w:pPr>
      <w:r>
        <w:t xml:space="preserve">Plot 45, Street 23, Area 17, Khartoum North</w:t>
      </w:r>
    </w:p>
    <w:p>
      <w:pPr>
        <w:pStyle w:val="BodyText"/>
      </w:pPr>
      <w:r>
        <w:t xml:space="preserve">Khartoum, Sudan</w:t>
      </w:r>
    </w:p>
    <w:p>
      <w:pPr>
        <w:pStyle w:val="BodyText"/>
      </w:pPr>
      <w:r>
        <w:t xml:space="preserve">Tel: +249 183 123 456 | Email: info@nilevalleyarch.sd</w:t>
      </w:r>
    </w:p>
    <w:p>
      <w:pPr>
        <w:pStyle w:val="BodyText"/>
      </w:pPr>
      <w:r>
        <w:t xml:space="preserve">Chamber of Architects Registration No: KA/2023/890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INV-KRT-2023-089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Al-Mahdi Construction &amp; Development Co.</w:t>
      </w:r>
    </w:p>
    <w:p>
      <w:pPr>
        <w:pStyle w:val="BodyText"/>
      </w:pPr>
      <w:r>
        <w:t xml:space="preserve">Attn: Mr. Ahmed El-Tayeb (Project Director)</w:t>
      </w:r>
    </w:p>
    <w:p>
      <w:pPr>
        <w:pStyle w:val="BodyText"/>
      </w:pPr>
      <w:r>
        <w:t xml:space="preserve">Office 12, Horizon Tower, Ring Road</w:t>
      </w:r>
    </w:p>
    <w:p>
      <w:pPr>
        <w:pStyle w:val="BodyText"/>
      </w:pPr>
      <w:r>
        <w:t xml:space="preserve">Khartoum, Sudan</w:t>
      </w:r>
    </w:p>
    <w:p>
      <w:pPr>
        <w:pStyle w:val="BodyText"/>
      </w:pPr>
      <w:r>
        <w:t xml:space="preserve">Tax ID: 10023456789</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The Blue Nile Residential Complex</w:t>
      </w:r>
    </w:p>
    <w:p>
      <w:pPr>
        <w:pStyle w:val="BodyText"/>
      </w:pPr>
      <w:r>
        <w:rPr>
          <w:bCs/>
          <w:b/>
        </w:rPr>
        <w:t xml:space="preserve">Location:</w:t>
      </w:r>
      <w:r>
        <w:t xml:space="preserve"> </w:t>
      </w:r>
      <w:r>
        <w:t xml:space="preserve">Bahri District, Khartoum, Sudan</w:t>
      </w:r>
    </w:p>
    <w:p>
      <w:pPr>
        <w:pStyle w:val="BodyText"/>
      </w:pPr>
      <w:r>
        <w:rPr>
          <w:bCs/>
          <w:b/>
        </w:rPr>
        <w:t xml:space="preserve">Phase:</w:t>
      </w:r>
      <w:r>
        <w:t xml:space="preserve"> </w:t>
      </w:r>
      <w:r>
        <w:t xml:space="preserve">Phase II - Detailed Design &amp; Documentation</w:t>
      </w:r>
    </w:p>
    <w:p>
      <w:pPr>
        <w:pStyle w:val="BodyText"/>
      </w:pPr>
      <w:r>
        <w:rPr>
          <w:bCs/>
          <w:b/>
        </w:rPr>
        <w:t xml:space="preserve">Contract Reference:</w:t>
      </w:r>
      <w:r>
        <w:t xml:space="preserve"> </w:t>
      </w:r>
      <w:r>
        <w:t xml:space="preserve">ARC-CONTRACT-2023-04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Site Analysis and Contextual Study:</w:t>
            </w:r>
            <w:r>
              <w:t xml:space="preserve"> </w:t>
            </w:r>
            <w:r>
              <w:t xml:space="preserve">Comprehensive analysis of the terrain in Khartoum, including soil reports, solar orientation studies specific to the Sudanese climate, and traffic flow assessment for the Bahri district location.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Schematic Design Development:</w:t>
            </w:r>
            <w:r>
              <w:t xml:space="preserve"> </w:t>
            </w:r>
            <w:r>
              <w:t xml:space="preserve">Creation of initial floor plans, elevations, and 3D massing models. This includes integrating traditional Sudanese architectural elements with modern sustainable design principles to ensure thermal comfort.</w:t>
            </w:r>
          </w:p>
        </w:tc>
        <w:tc>
          <w:tcPr/>
          <w:p>
            <w:pPr>
              <w:pStyle w:val="Compact"/>
              <w:jc w:val="left"/>
            </w:pPr>
            <w:r>
              <w:t xml:space="preserve">120</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3</w:t>
            </w:r>
          </w:p>
        </w:tc>
        <w:tc>
          <w:tcPr/>
          <w:p>
            <w:pPr>
              <w:pStyle w:val="Compact"/>
              <w:jc w:val="left"/>
            </w:pPr>
            <w:r>
              <w:rPr>
                <w:bCs/>
                <w:b/>
              </w:rPr>
              <w:t xml:space="preserve">Detailed Architectural Drawings:</w:t>
            </w:r>
            <w:r>
              <w:t xml:space="preserve"> </w:t>
            </w:r>
            <w:r>
              <w:t xml:space="preserve">Production of full-scale construction documents compliant with the Khartoum Municipality Building Code. Includes structural coordination, MEP integration, and material specifications suitable for local sourcing.</w:t>
            </w:r>
          </w:p>
        </w:tc>
        <w:tc>
          <w:tcPr/>
          <w:p>
            <w:pPr>
              <w:pStyle w:val="Compact"/>
              <w:jc w:val="left"/>
            </w:pPr>
            <w:r>
              <w:t xml:space="preserve">200</w:t>
            </w:r>
          </w:p>
        </w:tc>
        <w:tc>
          <w:tcPr/>
          <w:p>
            <w:pPr>
              <w:pStyle w:val="Compact"/>
              <w:jc w:val="left"/>
            </w:pPr>
            <w:r>
              <w:t xml:space="preserve">2,000.00</w:t>
            </w:r>
          </w:p>
        </w:tc>
        <w:tc>
          <w:tcPr/>
          <w:p>
            <w:pPr>
              <w:pStyle w:val="Compact"/>
              <w:jc w:val="left"/>
            </w:pPr>
            <w:r>
              <w:t xml:space="preserve">400,000.00</w:t>
            </w:r>
          </w:p>
        </w:tc>
      </w:tr>
      <w:tr>
        <w:tc>
          <w:tcPr/>
          <w:p>
            <w:pPr>
              <w:pStyle w:val="Compact"/>
              <w:jc w:val="left"/>
            </w:pPr>
            <w:r>
              <w:t xml:space="preserve">4</w:t>
            </w:r>
          </w:p>
        </w:tc>
        <w:tc>
          <w:tcPr/>
          <w:p>
            <w:pPr>
              <w:pStyle w:val="Compact"/>
              <w:jc w:val="left"/>
            </w:pPr>
            <w:r>
              <w:rPr>
                <w:bCs/>
                <w:b/>
              </w:rPr>
              <w:t xml:space="preserve">3D Visualization and Rendering:</w:t>
            </w:r>
            <w:r>
              <w:t xml:space="preserve"> </w:t>
            </w:r>
            <w:r>
              <w:t xml:space="preserve">High-resolution photorealistic renderings of the exterior façade and interior common areas to assist in marketing and stakeholder approval within the Sudanese real estate market.</w:t>
            </w:r>
          </w:p>
        </w:tc>
        <w:tc>
          <w:tcPr/>
          <w:p>
            <w:pPr>
              <w:pStyle w:val="Compact"/>
              <w:jc w:val="left"/>
            </w:pPr>
            <w:r>
              <w:t xml:space="preserve">15</w:t>
            </w:r>
          </w:p>
        </w:tc>
        <w:tc>
          <w:tcPr/>
          <w:p>
            <w:pPr>
              <w:pStyle w:val="Compact"/>
              <w:jc w:val="left"/>
            </w:pPr>
            <w:r>
              <w:t xml:space="preserve">5,000.00</w:t>
            </w:r>
          </w:p>
        </w:tc>
        <w:tc>
          <w:tcPr/>
          <w:p>
            <w:pPr>
              <w:pStyle w:val="Compact"/>
              <w:jc w:val="left"/>
            </w:pPr>
            <w:r>
              <w:t xml:space="preserve">75,000.00</w:t>
            </w:r>
          </w:p>
        </w:tc>
      </w:tr>
      <w:tr>
        <w:tc>
          <w:tcPr/>
          <w:p>
            <w:pPr>
              <w:pStyle w:val="Compact"/>
              <w:jc w:val="left"/>
            </w:pPr>
            <w:r>
              <w:t xml:space="preserve">5</w:t>
            </w:r>
          </w:p>
        </w:tc>
        <w:tc>
          <w:tcPr/>
          <w:p>
            <w:pPr>
              <w:pStyle w:val="Compact"/>
              <w:jc w:val="left"/>
            </w:pPr>
            <w:r>
              <w:rPr>
                <w:bCs/>
                <w:b/>
              </w:rPr>
              <w:t xml:space="preserve">Municipal Permitting Assistance:</w:t>
            </w:r>
            <w:r>
              <w:t xml:space="preserve"> </w:t>
            </w:r>
            <w:r>
              <w:t xml:space="preserve">Preparation and submission of all necessary documentation to the Khartoum State Ministry of Urban Planning and Construction for building permit approval.</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rPr>
                <w:bCs/>
                <w:b/>
              </w:rPr>
              <w:t xml:space="preserve">Client Consultation Meetings:</w:t>
            </w:r>
            <w:r>
              <w:t xml:space="preserve"> </w:t>
            </w:r>
            <w:r>
              <w:t xml:space="preserve">On-site and virtual meetings held in Khartoum to review progress, address design modifications, and ensure alignment with the client's vision for the residential complex.</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bl>
    <w:p>
      <w:pPr>
        <w:pStyle w:val="BodyText"/>
      </w:pPr>
      <w:r>
        <w:t xml:space="preserve">Subtotal:</w:t>
      </w:r>
      <w:r>
        <w:t xml:space="preserve"> </w:t>
      </w:r>
      <w:r>
        <w:t xml:space="preserve">788,000.00 SDG</w:t>
      </w:r>
    </w:p>
    <w:p>
      <w:pPr>
        <w:pStyle w:val="BodyText"/>
      </w:pPr>
      <w:r>
        <w:t xml:space="preserve">VAT (15%):</w:t>
      </w:r>
      <w:r>
        <w:t xml:space="preserve"> </w:t>
      </w:r>
      <w:r>
        <w:t xml:space="preserve">118,200.00 SDG</w:t>
      </w:r>
    </w:p>
    <w:p>
      <w:pPr>
        <w:pStyle w:val="BodyText"/>
      </w:pPr>
      <w:r>
        <w:t xml:space="preserve">Discount (Early Payment):</w:t>
      </w:r>
      <w:r>
        <w:t xml:space="preserve"> </w:t>
      </w:r>
      <w:r>
        <w:t xml:space="preserve">-0.00 SDG</w:t>
      </w:r>
    </w:p>
    <w:p>
      <w:pPr>
        <w:pStyle w:val="BodyText"/>
      </w:pPr>
      <w:r>
        <w:t xml:space="preserve">TOTAL DUE:</w:t>
      </w:r>
      <w:r>
        <w:t xml:space="preserve"> </w:t>
      </w:r>
      <w:r>
        <w:t xml:space="preserve">906,200.00 SDG</w:t>
      </w:r>
    </w:p>
    <w:p>
      <w:pPr>
        <w:pStyle w:val="BodyText"/>
      </w:pPr>
      <w:r>
        <w:t xml:space="preserve">Amount in words: Nine Hundred Six Thousand Two Hundred Sudanese Pounds only.</w:t>
      </w:r>
    </w:p>
    <w:bookmarkStart w:id="24" w:name="payment-instructions-terms"/>
    <w:p>
      <w:pPr>
        <w:pStyle w:val="Heading4"/>
      </w:pPr>
      <w:r>
        <w:t xml:space="preserve">Payment Instructions &amp; Terms:</w:t>
      </w:r>
    </w:p>
    <w:p>
      <w:pPr>
        <w:pStyle w:val="FirstParagraph"/>
      </w:pPr>
      <w:r>
        <w:t xml:space="preserve">Please make payment via bank transfer to the following account within 30 days of the invoice date. Late payments may incur a penalty of 2% per month as per standard commercial practices in Sudan.</w:t>
      </w:r>
    </w:p>
    <w:p>
      <w:pPr>
        <w:pStyle w:val="BodyText"/>
      </w:pPr>
      <w:r>
        <w:rPr>
          <w:bCs/>
          <w:b/>
        </w:rPr>
        <w:t xml:space="preserve">Bank Name:</w:t>
      </w:r>
      <w:r>
        <w:t xml:space="preserve"> </w:t>
      </w:r>
      <w:r>
        <w:t xml:space="preserve">Bank of Khartoum</w:t>
      </w:r>
      <w:r>
        <w:br/>
      </w:r>
      <w:r>
        <w:rPr>
          <w:bCs/>
          <w:b/>
        </w:rPr>
        <w:t xml:space="preserve">Branch:</w:t>
      </w:r>
      <w:r>
        <w:t xml:space="preserve"> </w:t>
      </w:r>
      <w:r>
        <w:t xml:space="preserve">Khartoum North Main Branch</w:t>
      </w:r>
      <w:r>
        <w:br/>
      </w:r>
      <w:r>
        <w:rPr>
          <w:bCs/>
          <w:b/>
        </w:rPr>
        <w:t xml:space="preserve">Account Name:</w:t>
      </w:r>
      <w:r>
        <w:t xml:space="preserve"> </w:t>
      </w:r>
      <w:r>
        <w:t xml:space="preserve">Nile Valley Architectural Studio</w:t>
      </w:r>
      <w:r>
        <w:br/>
      </w:r>
      <w:r>
        <w:rPr>
          <w:bCs/>
          <w:b/>
        </w:rPr>
        <w:t xml:space="preserve">Account Number:</w:t>
      </w:r>
      <w:r>
        <w:t xml:space="preserve"> </w:t>
      </w:r>
      <w:r>
        <w:t xml:space="preserve">1001234567890</w:t>
      </w:r>
      <w:r>
        <w:br/>
      </w:r>
      <w:r>
        <w:rPr>
          <w:bCs/>
          <w:b/>
        </w:rPr>
        <w:t xml:space="preserve">SWIFT Code:</w:t>
      </w:r>
      <w:r>
        <w:t xml:space="preserve"> </w:t>
      </w:r>
      <w:r>
        <w:t xml:space="preserve">BKHSKHSX</w:t>
      </w:r>
    </w:p>
    <w:p>
      <w:pPr>
        <w:pStyle w:val="BodyText"/>
      </w:pPr>
      <w:r>
        <w:rPr>
          <w:bCs/>
          <w:b/>
        </w:rPr>
        <w:t xml:space="preserve">Important Note:</w:t>
      </w:r>
      <w:r>
        <w:t xml:space="preserve"> </w:t>
      </w:r>
      <w:r>
        <w:t xml:space="preserve">This invoice covers professional architectural services rendered in accordance with the agreement signed on August 1, 2023. All designs are the intellectual property of Nile Valley Architectural Studio until full payment is received. The architect reserves the right to withhold final stamped drawings until the balance is cleared.</w:t>
      </w:r>
    </w:p>
    <w:bookmarkEnd w:id="24"/>
    <w:p>
      <w:pPr>
        <w:pStyle w:val="BodyText"/>
      </w:pPr>
      <w:r>
        <w:t xml:space="preserve">Authorized Signature (Architect)</w:t>
      </w:r>
    </w:p>
    <w:p>
      <w:pPr>
        <w:pStyle w:val="BodyText"/>
      </w:pPr>
      <w:r>
        <w:t xml:space="preserve">Eng. Omar Hassan</w:t>
      </w:r>
    </w:p>
    <w:p>
      <w:pPr>
        <w:pStyle w:val="BodyText"/>
      </w:pPr>
      <w:r>
        <w:t xml:space="preserve">Lead Architect</w:t>
      </w:r>
    </w:p>
    <w:p>
      <w:pPr>
        <w:pStyle w:val="BodyText"/>
      </w:pPr>
      <w:r>
        <w:t xml:space="preserve">Nile Valley Architectural Studio</w:t>
      </w:r>
    </w:p>
    <w:p>
      <w:pPr>
        <w:pStyle w:val="BodyText"/>
      </w:pPr>
      <w:r>
        <w:t xml:space="preserve">Received By (Client)</w:t>
      </w:r>
    </w:p>
    <w:p>
      <w:pPr>
        <w:pStyle w:val="BodyText"/>
      </w:pPr>
      <w:r>
        <w:t xml:space="preserve">Name:</w:t>
      </w:r>
    </w:p>
    <w:p>
      <w:pPr>
        <w:pStyle w:val="BodyText"/>
      </w:pPr>
      <w:r>
        <w:t xml:space="preserve">Date:</w:t>
      </w:r>
    </w:p>
    <w:p>
      <w:pPr>
        <w:pStyle w:val="BodyText"/>
      </w:pPr>
      <w:r>
        <w:t xml:space="preserve">Nile Valley Architectural Studio | Plot 45, Street 23, Area 17, Khartoum North, Sudan</w:t>
      </w:r>
      <w:r>
        <w:br/>
      </w:r>
      <w:r>
        <w:t xml:space="preserve">Tel: +249 183 123 456 | Email: info@nilevalleyarch.sd</w:t>
      </w:r>
      <w:r>
        <w:br/>
      </w:r>
      <w:r>
        <w:t xml:space="preserve">Registered with the Sudanese Chamber of Architects and Engineers.</w:t>
      </w:r>
    </w:p>
    <w:p>
      <w:pPr>
        <w:pStyle w:val="BodyText"/>
      </w:pPr>
      <w:r>
        <w:t xml:space="preserve">Thank you for your business. We look forward to continuing our collaboration on future projects in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Khartoum, Sudan</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