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Architectural</w:t>
      </w:r>
      <w:r>
        <w:t xml:space="preserve"> </w:t>
      </w:r>
      <w:r>
        <w:t xml:space="preserve">Services</w:t>
      </w:r>
      <w:r>
        <w:t xml:space="preserve"> </w:t>
      </w:r>
      <w:r>
        <w:t xml:space="preserve">Invoice</w:t>
      </w:r>
      <w:r>
        <w:t xml:space="preserve"> </w:t>
      </w:r>
      <w:r>
        <w:t xml:space="preserve">-</w:t>
      </w:r>
      <w:r>
        <w:t xml:space="preserve"> </w:t>
      </w:r>
      <w:r>
        <w:t xml:space="preserve">Abu</w:t>
      </w:r>
      <w:r>
        <w:t xml:space="preserve"> </w:t>
      </w:r>
      <w:r>
        <w:t xml:space="preserve">Dhabi,</w:t>
      </w:r>
      <w:r>
        <w:t xml:space="preserve"> </w:t>
      </w:r>
      <w:r>
        <w:t xml:space="preserve">UAE</w:t>
      </w:r>
    </w:p>
    <w:bookmarkStart w:id="20" w:name="emirates-horizon-architects"/>
    <w:p>
      <w:pPr>
        <w:pStyle w:val="Heading1"/>
      </w:pPr>
      <w:r>
        <w:t xml:space="preserve">Emirates Horizon Architects</w:t>
      </w:r>
    </w:p>
    <w:p>
      <w:pPr>
        <w:pStyle w:val="FirstParagraph"/>
      </w:pPr>
      <w:r>
        <w:rPr>
          <w:bCs/>
          <w:b/>
        </w:rPr>
        <w:t xml:space="preserve">License No:</w:t>
      </w:r>
      <w:r>
        <w:t xml:space="preserve"> </w:t>
      </w:r>
      <w:r>
        <w:t xml:space="preserve">AD-MUN-2023-8845</w:t>
      </w:r>
    </w:p>
    <w:p>
      <w:pPr>
        <w:pStyle w:val="BodyText"/>
      </w:pPr>
      <w:r>
        <w:rPr>
          <w:bCs/>
          <w:b/>
        </w:rPr>
        <w:t xml:space="preserve">TRN:</w:t>
      </w:r>
      <w:r>
        <w:t xml:space="preserve"> </w:t>
      </w:r>
      <w:r>
        <w:t xml:space="preserve">100.234.567.891000</w:t>
      </w:r>
    </w:p>
    <w:p>
      <w:pPr>
        <w:pStyle w:val="BodyText"/>
      </w:pPr>
      <w:r>
        <w:t xml:space="preserve">Office 1204, Al Reem Island Tower, Abu Dhabi, United Arab Emirates</w:t>
      </w:r>
    </w:p>
    <w:p>
      <w:pPr>
        <w:pStyle w:val="BodyText"/>
      </w:pPr>
      <w:r>
        <w:t xml:space="preserve">Email: billing@emirateshorizon.ae | Phone: +971 2 555 0199</w:t>
      </w:r>
    </w:p>
    <w:bookmarkEnd w:id="20"/>
    <w:bookmarkStart w:id="21" w:name="tax-invoice"/>
    <w:p>
      <w:pPr>
        <w:pStyle w:val="Heading2"/>
      </w:pPr>
      <w:r>
        <w:t xml:space="preserve">TAX INVOICE</w:t>
      </w:r>
    </w:p>
    <w:p>
      <w:pPr>
        <w:pStyle w:val="FirstParagraph"/>
      </w:pPr>
      <w:r>
        <w:rPr>
          <w:bCs/>
          <w:b/>
        </w:rPr>
        <w:t xml:space="preserve">Invoice #:</w:t>
      </w:r>
      <w:r>
        <w:t xml:space="preserve"> </w:t>
      </w:r>
      <w:r>
        <w:t xml:space="preserve">INV-2023-10-045</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Al Futtaim Real Estate Development LLC</w:t>
      </w:r>
    </w:p>
    <w:p>
      <w:pPr>
        <w:pStyle w:val="BodyText"/>
      </w:pPr>
      <w:r>
        <w:rPr>
          <w:bCs/>
          <w:b/>
        </w:rPr>
        <w:t xml:space="preserve">Attn:</w:t>
      </w:r>
      <w:r>
        <w:t xml:space="preserve"> </w:t>
      </w:r>
      <w:r>
        <w:t xml:space="preserve">Mr. Ahmed Al Mansoori, Project Director</w:t>
      </w:r>
    </w:p>
    <w:p>
      <w:pPr>
        <w:pStyle w:val="BodyText"/>
      </w:pPr>
      <w:r>
        <w:rPr>
          <w:bCs/>
          <w:b/>
        </w:rPr>
        <w:t xml:space="preserve">Address:</w:t>
      </w:r>
      <w:r>
        <w:t xml:space="preserve"> </w:t>
      </w:r>
      <w:r>
        <w:t xml:space="preserve">Sheikh Zayed Road, Abu Dhabi, United Arab Emirates</w:t>
      </w:r>
    </w:p>
    <w:p>
      <w:pPr>
        <w:pStyle w:val="BodyText"/>
      </w:pPr>
      <w:r>
        <w:rPr>
          <w:bCs/>
          <w:b/>
        </w:rPr>
        <w:t xml:space="preserve">TRN:</w:t>
      </w:r>
      <w:r>
        <w:t xml:space="preserve"> </w:t>
      </w:r>
      <w:r>
        <w:t xml:space="preserve">100.987.654.321000</w:t>
      </w:r>
    </w:p>
    <w:bookmarkEnd w:id="22"/>
    <w:bookmarkStart w:id="23" w:name="project-reference"/>
    <w:p>
      <w:pPr>
        <w:pStyle w:val="Heading3"/>
      </w:pPr>
      <w:r>
        <w:t xml:space="preserve">Project Reference:</w:t>
      </w:r>
    </w:p>
    <w:p>
      <w:pPr>
        <w:pStyle w:val="FirstParagraph"/>
      </w:pPr>
      <w:r>
        <w:rPr>
          <w:bCs/>
          <w:b/>
        </w:rPr>
        <w:t xml:space="preserve">Project Name:</w:t>
      </w:r>
      <w:r>
        <w:t xml:space="preserve"> </w:t>
      </w:r>
      <w:r>
        <w:t xml:space="preserve">The Pearl Residences - Phase II</w:t>
      </w:r>
    </w:p>
    <w:p>
      <w:pPr>
        <w:pStyle w:val="BodyText"/>
      </w:pPr>
      <w:r>
        <w:rPr>
          <w:bCs/>
          <w:b/>
        </w:rPr>
        <w:t xml:space="preserve">Location:</w:t>
      </w:r>
      <w:r>
        <w:t xml:space="preserve"> </w:t>
      </w:r>
      <w:r>
        <w:t xml:space="preserve">Saadiyat Island, Abu Dhabi, UAE</w:t>
      </w:r>
    </w:p>
    <w:p>
      <w:pPr>
        <w:pStyle w:val="BodyText"/>
      </w:pPr>
      <w:r>
        <w:rPr>
          <w:bCs/>
          <w:b/>
        </w:rPr>
        <w:t xml:space="preserve">Service Period:</w:t>
      </w:r>
      <w:r>
        <w:t xml:space="preserve"> </w:t>
      </w:r>
      <w:r>
        <w:t xml:space="preserve">September 1, 2023 - September 30, 2023</w:t>
      </w:r>
    </w:p>
    <w:p>
      <w:pPr>
        <w:pStyle w:val="BodyText"/>
      </w:pPr>
      <w:r>
        <w:rPr>
          <w:bCs/>
          <w:b/>
        </w:rPr>
        <w:t xml:space="preserve">Contract Ref:</w:t>
      </w:r>
      <w:r>
        <w:t xml:space="preserve"> </w:t>
      </w:r>
      <w:r>
        <w:t xml:space="preserve">EHA-ADR-2023-001</w:t>
      </w:r>
    </w:p>
    <w:bookmarkEnd w:id="23"/>
    <w:p>
      <w:pPr>
        <w:pStyle w:val="BodyText"/>
      </w:pPr>
      <w:r>
        <w:t xml:space="preserve">This</w:t>
      </w:r>
      <w:r>
        <w:t xml:space="preserve"> </w:t>
      </w:r>
      <w:r>
        <w:rPr>
          <w:bCs/>
          <w:b/>
        </w:rPr>
        <w:t xml:space="preserve">Invoice</w:t>
      </w:r>
      <w:r>
        <w:t xml:space="preserve"> </w:t>
      </w:r>
      <w:r>
        <w:t xml:space="preserve">is issued by Emirates Horizon Architects, a registered firm operating under the regulations of the Department of Municipalities and Transport (DMT) in</w:t>
      </w:r>
      <w:r>
        <w:t xml:space="preserve"> </w:t>
      </w:r>
      <w:r>
        <w:rPr>
          <w:bCs/>
          <w:b/>
        </w:rPr>
        <w:t xml:space="preserve">United Arab Emirates Abu Dhabi</w:t>
      </w:r>
      <w:r>
        <w:t xml:space="preserve">. The services detailed below represent the professional architectural consultancy provided during the specified period. As a licensed</w:t>
      </w:r>
      <w:r>
        <w:t xml:space="preserve"> </w:t>
      </w:r>
      <w:r>
        <w:rPr>
          <w:bCs/>
          <w:b/>
        </w:rPr>
        <w:t xml:space="preserve">Architect</w:t>
      </w:r>
      <w:r>
        <w:t xml:space="preserve"> </w:t>
      </w:r>
      <w:r>
        <w:t xml:space="preserve">in the UAE, we ensure all deliverables comply with the Abu Dhabi Urban Planning Council (UPC) standards, the Abu Dhabi Building Code, and the sustainability requirements of the Estidama Pearl Rating System.</w:t>
      </w:r>
    </w:p>
    <w:p>
      <w:pPr>
        <w:pStyle w:val="BodyText"/>
      </w:pPr>
      <w:r>
        <w:t xml:space="preserve">The scope of work for this billing cycle includes advanced schematic design development, 3D visualization rendering, and coordination with structural and MEP consultants. The</w:t>
      </w:r>
      <w:r>
        <w:t xml:space="preserve"> </w:t>
      </w:r>
      <w:r>
        <w:rPr>
          <w:bCs/>
          <w:b/>
        </w:rPr>
        <w:t xml:space="preserve">Architect</w:t>
      </w:r>
      <w:r>
        <w:t xml:space="preserve"> </w:t>
      </w:r>
      <w:r>
        <w:t xml:space="preserve">has overseen the integration of local cultural aesthetics with modern sustainable building practices, ensuring the project aligns with the vision of</w:t>
      </w:r>
      <w:r>
        <w:t xml:space="preserve"> </w:t>
      </w:r>
      <w:r>
        <w:rPr>
          <w:bCs/>
          <w:b/>
        </w:rPr>
        <w:t xml:space="preserve">United Arab Emirates Abu Dhabi</w:t>
      </w:r>
      <w:r>
        <w:t xml:space="preserve"> </w:t>
      </w:r>
      <w:r>
        <w:t xml:space="preserve">as a global hub for innovation and luxury living.</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(AED)</w:t>
            </w:r>
          </w:p>
        </w:tc>
        <w:tc>
          <w:tcPr/>
          <w:p>
            <w:pPr>
              <w:pStyle w:val="Compact"/>
              <w:jc w:val="left"/>
            </w:pPr>
            <w:r>
              <w:t xml:space="preserve">Amount (AED)</w:t>
            </w:r>
          </w:p>
        </w:tc>
      </w:tr>
      <w:tr>
        <w:tc>
          <w:tcPr/>
          <w:p>
            <w:pPr>
              <w:pStyle w:val="Compact"/>
              <w:jc w:val="left"/>
            </w:pPr>
            <w:r>
              <w:rPr>
                <w:bCs/>
                <w:b/>
              </w:rPr>
              <w:t xml:space="preserve">Schematic Design Development (Phase II)</w:t>
            </w:r>
            <w:r>
              <w:br/>
            </w:r>
            <w:r>
              <w:t xml:space="preserve">Refinement of floor plans, elevations, and sections for residential towers. Compliance check against Abu Dhabi Municipality zoning laws.</w:t>
            </w:r>
          </w:p>
        </w:tc>
        <w:tc>
          <w:tcPr/>
          <w:p>
            <w:pPr>
              <w:pStyle w:val="Compact"/>
              <w:jc w:val="left"/>
            </w:pPr>
            <w:r>
              <w:t xml:space="preserve">1 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rPr>
                <w:bCs/>
                <w:b/>
              </w:rPr>
              <w:t xml:space="preserve">3D Architectural Visualization</w:t>
            </w:r>
            <w:r>
              <w:br/>
            </w:r>
            <w:r>
              <w:t xml:space="preserve">High-fidelity photorealistic renders of exterior facades and interior lobby spaces for client presentation and marketing.</w:t>
            </w:r>
          </w:p>
        </w:tc>
        <w:tc>
          <w:tcPr/>
          <w:p>
            <w:pPr>
              <w:pStyle w:val="Compact"/>
              <w:jc w:val="left"/>
            </w:pPr>
            <w:r>
              <w:t xml:space="preserve">12 Images</w:t>
            </w:r>
          </w:p>
        </w:tc>
        <w:tc>
          <w:tcPr/>
          <w:p>
            <w:pPr>
              <w:pStyle w:val="Compact"/>
              <w:jc w:val="left"/>
            </w:pPr>
            <w:r>
              <w:t xml:space="preserve">1,500.00</w:t>
            </w:r>
          </w:p>
        </w:tc>
        <w:tc>
          <w:tcPr/>
          <w:p>
            <w:pPr>
              <w:pStyle w:val="Compact"/>
              <w:jc w:val="left"/>
            </w:pPr>
            <w:r>
              <w:t xml:space="preserve">18,000.00</w:t>
            </w:r>
          </w:p>
        </w:tc>
      </w:tr>
      <w:tr>
        <w:tc>
          <w:tcPr/>
          <w:p>
            <w:pPr>
              <w:pStyle w:val="Compact"/>
              <w:jc w:val="left"/>
            </w:pPr>
            <w:r>
              <w:rPr>
                <w:bCs/>
                <w:b/>
              </w:rPr>
              <w:t xml:space="preserve">Senior Architect Consultation</w:t>
            </w:r>
            <w:r>
              <w:br/>
            </w:r>
            <w:r>
              <w:t xml:space="preserve">On-site supervision and design review meetings held in Abu Dhabi. Coordination with local authorities regarding permit submissions.</w:t>
            </w:r>
          </w:p>
        </w:tc>
        <w:tc>
          <w:tcPr/>
          <w:p>
            <w:pPr>
              <w:pStyle w:val="Compact"/>
              <w:jc w:val="left"/>
            </w:pPr>
            <w:r>
              <w:t xml:space="preserve">40 Hours</w:t>
            </w:r>
          </w:p>
        </w:tc>
        <w:tc>
          <w:tcPr/>
          <w:p>
            <w:pPr>
              <w:pStyle w:val="Compact"/>
              <w:jc w:val="left"/>
            </w:pPr>
            <w:r>
              <w:t xml:space="preserve">850.00</w:t>
            </w:r>
          </w:p>
        </w:tc>
        <w:tc>
          <w:tcPr/>
          <w:p>
            <w:pPr>
              <w:pStyle w:val="Compact"/>
              <w:jc w:val="left"/>
            </w:pPr>
            <w:r>
              <w:t xml:space="preserve">34,000.00</w:t>
            </w:r>
          </w:p>
        </w:tc>
      </w:tr>
      <w:tr>
        <w:tc>
          <w:tcPr/>
          <w:p>
            <w:pPr>
              <w:pStyle w:val="Compact"/>
              <w:jc w:val="left"/>
            </w:pPr>
            <w:r>
              <w:rPr>
                <w:bCs/>
                <w:b/>
              </w:rPr>
              <w:t xml:space="preserve">Estidama Compliance Documentation</w:t>
            </w:r>
            <w:r>
              <w:br/>
            </w:r>
            <w:r>
              <w:t xml:space="preserve">Preparation of technical reports required for the 3-Pearl Estidama rating submission specific to Abu Dhabi regulations.</w:t>
            </w:r>
          </w:p>
        </w:tc>
        <w:tc>
          <w:tcPr/>
          <w:p>
            <w:pPr>
              <w:pStyle w:val="Compact"/>
              <w:jc w:val="left"/>
            </w:pPr>
            <w:r>
              <w:t xml:space="preserve">1 Lot</w:t>
            </w:r>
          </w:p>
        </w:tc>
        <w:tc>
          <w:tcPr/>
          <w:p>
            <w:pPr>
              <w:pStyle w:val="Compact"/>
              <w:jc w:val="left"/>
            </w:pPr>
            <w:r>
              <w:t xml:space="preserve">12,500.00</w:t>
            </w:r>
          </w:p>
        </w:tc>
        <w:tc>
          <w:tcPr/>
          <w:p>
            <w:pPr>
              <w:pStyle w:val="Compact"/>
              <w:jc w:val="left"/>
            </w:pPr>
            <w:r>
              <w:t xml:space="preserve">12,500.00</w:t>
            </w:r>
          </w:p>
        </w:tc>
      </w:tr>
      <w:tr>
        <w:tc>
          <w:tcPr/>
          <w:p>
            <w:pPr>
              <w:pStyle w:val="Compact"/>
              <w:jc w:val="left"/>
            </w:pPr>
            <w:r>
              <w:rPr>
                <w:bCs/>
                <w:b/>
              </w:rPr>
              <w:t xml:space="preserve">MEP Coordination Review</w:t>
            </w:r>
            <w:r>
              <w:br/>
            </w:r>
            <w:r>
              <w:t xml:space="preserve">Review of mechanical, electrical, and plumbing layouts to ensure architectural integrity and code compliance.</w:t>
            </w:r>
          </w:p>
        </w:tc>
        <w:tc>
          <w:tcPr/>
          <w:p>
            <w:pPr>
              <w:pStyle w:val="Compact"/>
              <w:jc w:val="left"/>
            </w:pPr>
            <w:r>
              <w:t xml:space="preserve">1 Lot</w:t>
            </w:r>
          </w:p>
        </w:tc>
        <w:tc>
          <w:tcPr/>
          <w:p>
            <w:pPr>
              <w:pStyle w:val="Compact"/>
              <w:jc w:val="left"/>
            </w:pPr>
            <w:r>
              <w:t xml:space="preserve">8,000.00</w:t>
            </w:r>
          </w:p>
        </w:tc>
        <w:tc>
          <w:tcPr/>
          <w:p>
            <w:pPr>
              <w:pStyle w:val="Compact"/>
              <w:jc w:val="left"/>
            </w:pPr>
            <w:r>
              <w:t xml:space="preserve">8,000.00</w:t>
            </w:r>
          </w:p>
        </w:tc>
      </w:tr>
    </w:tbl>
    <w:p>
      <w:pPr>
        <w:pStyle w:val="BodyText"/>
      </w:pPr>
      <w:r>
        <w:t xml:space="preserve">Subtotal:</w:t>
      </w:r>
      <w:r>
        <w:t xml:space="preserve"> </w:t>
      </w:r>
      <w:r>
        <w:t xml:space="preserve">117,500.00 AED</w:t>
      </w:r>
    </w:p>
    <w:p>
      <w:pPr>
        <w:pStyle w:val="BodyText"/>
      </w:pPr>
      <w:r>
        <w:t xml:space="preserve">VAT (5%):</w:t>
      </w:r>
      <w:r>
        <w:t xml:space="preserve"> </w:t>
      </w:r>
      <w:r>
        <w:t xml:space="preserve">5,875.00 AED</w:t>
      </w:r>
    </w:p>
    <w:p>
      <w:pPr>
        <w:pStyle w:val="BodyText"/>
      </w:pPr>
      <w:r>
        <w:t xml:space="preserve">TOTAL DUE:</w:t>
      </w:r>
      <w:r>
        <w:t xml:space="preserve"> </w:t>
      </w:r>
      <w:r>
        <w:t xml:space="preserve">123,375.00 AED</w:t>
      </w:r>
    </w:p>
    <w:bookmarkStart w:id="24" w:name="payment-terms-conditions"/>
    <w:p>
      <w:pPr>
        <w:pStyle w:val="Heading4"/>
      </w:pPr>
      <w:r>
        <w:t xml:space="preserve">Payment Terms &amp; Conditions</w:t>
      </w:r>
    </w:p>
    <w:p>
      <w:pPr>
        <w:pStyle w:val="FirstParagraph"/>
      </w:pPr>
      <w:r>
        <w:t xml:space="preserve">1.</w:t>
      </w:r>
      <w:r>
        <w:t xml:space="preserve"> </w:t>
      </w:r>
      <w:r>
        <w:rPr>
          <w:bCs/>
          <w:b/>
        </w:rPr>
        <w:t xml:space="preserve">Currency:</w:t>
      </w:r>
      <w:r>
        <w:t xml:space="preserve"> </w:t>
      </w:r>
      <w:r>
        <w:t xml:space="preserve">All amounts are quoted in United Arab Emirates Dirhams (AED).</w:t>
      </w:r>
      <w:r>
        <w:br/>
      </w:r>
      <w:r>
        <w:t xml:space="preserve">2.</w:t>
      </w:r>
      <w:r>
        <w:t xml:space="preserve"> </w:t>
      </w:r>
      <w:r>
        <w:rPr>
          <w:bCs/>
          <w:b/>
        </w:rPr>
        <w:t xml:space="preserve">VAT:</w:t>
      </w:r>
      <w:r>
        <w:t xml:space="preserve"> </w:t>
      </w:r>
      <w:r>
        <w:t xml:space="preserve">Value Added Tax is calculated at 5% in accordance with the Federal Tax Authority (FTA) regulations of the United Arab Emirates.</w:t>
      </w:r>
      <w:r>
        <w:br/>
      </w:r>
      <w:r>
        <w:t xml:space="preserve">3.</w:t>
      </w:r>
      <w:r>
        <w:t xml:space="preserve"> </w:t>
      </w:r>
      <w:r>
        <w:rPr>
          <w:bCs/>
          <w:b/>
        </w:rPr>
        <w:t xml:space="preserve">Payment Method:</w:t>
      </w:r>
      <w:r>
        <w:t xml:space="preserve"> </w:t>
      </w:r>
      <w:r>
        <w:t xml:space="preserve">Payments should be made via bank transfer to Emirates NBD, Account No: 000123456789, IBAN: AE00 0000 0000 0000 0000 0000.</w:t>
      </w:r>
      <w:r>
        <w:br/>
      </w:r>
      <w:r>
        <w:t xml:space="preserve">4.</w:t>
      </w:r>
      <w:r>
        <w:t xml:space="preserve"> </w:t>
      </w:r>
      <w:r>
        <w:rPr>
          <w:bCs/>
          <w:b/>
        </w:rPr>
        <w:t xml:space="preserve">Due Date:</w:t>
      </w:r>
      <w:r>
        <w:t xml:space="preserve"> </w:t>
      </w:r>
      <w:r>
        <w:t xml:space="preserve">Payment is due within 30 days from the date of this Invoice. Late payments may incur interest charges as per UAE commercial law.</w:t>
      </w:r>
      <w:r>
        <w:br/>
      </w:r>
      <w:r>
        <w:t xml:space="preserve">5.</w:t>
      </w:r>
      <w:r>
        <w:t xml:space="preserve"> </w:t>
      </w:r>
      <w:r>
        <w:rPr>
          <w:bCs/>
          <w:b/>
        </w:rPr>
        <w:t xml:space="preserve">Disputes:</w:t>
      </w:r>
      <w:r>
        <w:t xml:space="preserve"> </w:t>
      </w:r>
      <w:r>
        <w:t xml:space="preserve">Any discrepancies regarding this Invoice must be reported within 7 days of receipt.</w:t>
      </w:r>
    </w:p>
    <w:bookmarkEnd w:id="24"/>
    <w:bookmarkStart w:id="25" w:name="architectural-scope-notes"/>
    <w:p>
      <w:pPr>
        <w:pStyle w:val="Heading4"/>
      </w:pPr>
      <w:r>
        <w:t xml:space="preserve">Architectural Scope Notes</w:t>
      </w:r>
    </w:p>
    <w:p>
      <w:pPr>
        <w:pStyle w:val="FirstParagraph"/>
      </w:pPr>
      <w:r>
        <w:t xml:space="preserve">This</w:t>
      </w:r>
      <w:r>
        <w:t xml:space="preserve"> </w:t>
      </w:r>
      <w:r>
        <w:rPr>
          <w:bCs/>
          <w:b/>
        </w:rPr>
        <w:t xml:space="preserve">Invoice</w:t>
      </w:r>
      <w:r>
        <w:t xml:space="preserve"> </w:t>
      </w:r>
      <w:r>
        <w:t xml:space="preserve">covers professional services rendered by a licensed</w:t>
      </w:r>
      <w:r>
        <w:t xml:space="preserve"> </w:t>
      </w:r>
      <w:r>
        <w:rPr>
          <w:bCs/>
          <w:b/>
        </w:rPr>
        <w:t xml:space="preserve">Architect</w:t>
      </w:r>
      <w:r>
        <w:t xml:space="preserve"> </w:t>
      </w:r>
      <w:r>
        <w:t xml:space="preserve">in the Emirate of Abu Dhabi. The designs provided are the intellectual property of Emirates Horizon Architects until full payment is received. The client acknowledges that the architectural plans are subject to final approval by the Abu Dhabi Department of Municipalities and Transport. The</w:t>
      </w:r>
      <w:r>
        <w:t xml:space="preserve"> </w:t>
      </w:r>
      <w:r>
        <w:rPr>
          <w:bCs/>
          <w:b/>
        </w:rPr>
        <w:t xml:space="preserve">Architect</w:t>
      </w:r>
      <w:r>
        <w:t xml:space="preserve"> </w:t>
      </w:r>
      <w:r>
        <w:t xml:space="preserve">reserves the right to adjust designs based on regulatory feedback from authorities in</w:t>
      </w:r>
      <w:r>
        <w:t xml:space="preserve"> </w:t>
      </w:r>
      <w:r>
        <w:rPr>
          <w:bCs/>
          <w:b/>
        </w:rPr>
        <w:t xml:space="preserve">United Arab Emirates Abu Dhabi</w:t>
      </w:r>
      <w:r>
        <w:t xml:space="preserve">.</w:t>
      </w:r>
    </w:p>
    <w:bookmarkEnd w:id="25"/>
    <w:p>
      <w:pPr>
        <w:pStyle w:val="BodyText"/>
      </w:pPr>
      <w:r>
        <w:rPr>
          <w:bCs/>
          <w:b/>
        </w:rPr>
        <w:t xml:space="preserve">Authorized Signature</w:t>
      </w:r>
    </w:p>
    <w:p>
      <w:pPr>
        <w:pStyle w:val="BodyText"/>
      </w:pPr>
      <w:r>
        <w:t xml:space="preserve">Emirates Horizon Architects</w:t>
      </w:r>
    </w:p>
    <w:p>
      <w:pPr>
        <w:pStyle w:val="BodyText"/>
      </w:pPr>
      <w:r>
        <w:t xml:space="preserve">Lead Architect</w:t>
      </w:r>
    </w:p>
    <w:p>
      <w:pPr>
        <w:pStyle w:val="BodyText"/>
      </w:pPr>
      <w:r>
        <w:rPr>
          <w:bCs/>
          <w:b/>
        </w:rPr>
        <w:t xml:space="preserve">Received By</w:t>
      </w:r>
    </w:p>
    <w:p>
      <w:pPr>
        <w:pStyle w:val="BodyText"/>
      </w:pPr>
      <w:r>
        <w:t xml:space="preserve">Al Futtaim Real Estate Development LLC</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Architectural Services Invoice - Abu Dhabi, UAE</dc:title>
  <dc:creator/>
  <dc:language>en</dc:language>
  <cp:keywords/>
  <dcterms:created xsi:type="dcterms:W3CDTF">2026-10-10T09:16:59Z</dcterms:created>
  <dcterms:modified xsi:type="dcterms:W3CDTF">2026-10-10T09:16:59Z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