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tower-architectural-studio"/>
    <w:p>
      <w:pPr>
        <w:pStyle w:val="Heading1"/>
      </w:pPr>
      <w:r>
        <w:t xml:space="preserve">Thames &amp; Tower Architectural Studio</w:t>
      </w:r>
    </w:p>
    <w:p>
      <w:pPr>
        <w:pStyle w:val="FirstParagraph"/>
      </w:pPr>
      <w:r>
        <w:t xml:space="preserve">Registered Office: 42 Canary Wharf, London, E14 5AB, United Kingdom</w:t>
      </w:r>
    </w:p>
    <w:p>
      <w:pPr>
        <w:pStyle w:val="BodyText"/>
      </w:pPr>
      <w:r>
        <w:t xml:space="preserve">Architect Registration Number (AR): 123456</w:t>
      </w:r>
    </w:p>
    <w:p>
      <w:pPr>
        <w:pStyle w:val="BodyText"/>
      </w:pPr>
      <w:r>
        <w:t xml:space="preserve">Company Registration Number: 09876543</w:t>
      </w:r>
    </w:p>
    <w:p>
      <w:pPr>
        <w:pStyle w:val="BodyText"/>
      </w:pPr>
      <w:r>
        <w:t xml:space="preserve">VAT Registration Number: GB 123 4567 89</w:t>
      </w:r>
    </w:p>
    <w:p>
      <w:pPr>
        <w:pStyle w:val="BodyText"/>
      </w:pPr>
      <w:r>
        <w:t xml:space="preserve">Email: accounts@thamesandtower.co.uk | Tel: +44 (0)20 7946 0958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INV-LON-2023-089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Westminster Residential Developments Ltd</w:t>
      </w:r>
      <w:r>
        <w:br/>
      </w:r>
      <w:r>
        <w:t xml:space="preserve">15 Victoria Street, London, SW1H 0ET, United Kingdom</w:t>
      </w:r>
      <w:r>
        <w:br/>
      </w:r>
      <w:r>
        <w:t xml:space="preserve">Attn: Mr. Jonathan Sterling, Director</w:t>
      </w:r>
      <w:r>
        <w:br/>
      </w:r>
      <w:r>
        <w:t xml:space="preserve">VAT Number: GB 987 6543 21</w:t>
      </w:r>
    </w:p>
    <w:p>
      <w:pPr>
        <w:pStyle w:val="BodyText"/>
      </w:pPr>
      <w:r>
        <w:t xml:space="preserve">Project Details</w:t>
      </w:r>
    </w:p>
    <w:p>
      <w:pPr>
        <w:pStyle w:val="BodyText"/>
      </w:pPr>
      <w:r>
        <w:rPr>
          <w:bCs/>
          <w:b/>
        </w:rPr>
        <w:t xml:space="preserve">Project Name:</w:t>
      </w:r>
      <w:r>
        <w:t xml:space="preserve"> </w:t>
      </w:r>
      <w:r>
        <w:t xml:space="preserve">The Shard Extension - Residential Conversion Phase II</w:t>
      </w:r>
      <w:r>
        <w:br/>
      </w:r>
      <w:r>
        <w:rPr>
          <w:bCs/>
          <w:b/>
        </w:rPr>
        <w:t xml:space="preserve">Project Address:</w:t>
      </w:r>
      <w:r>
        <w:t xml:space="preserve"> </w:t>
      </w:r>
      <w:r>
        <w:t xml:space="preserve">32 London Bridge Street, London, SE1 9SG, United Kingdom</w:t>
      </w:r>
      <w:r>
        <w:br/>
      </w:r>
      <w:r>
        <w:rPr>
          <w:bCs/>
          <w:b/>
        </w:rPr>
        <w:t xml:space="preserve">Service Period:</w:t>
      </w:r>
      <w:r>
        <w:t xml:space="preserve"> </w:t>
      </w:r>
      <w:r>
        <w:t xml:space="preserve">01 September 2023 to 30 September 2023</w:t>
      </w:r>
    </w:p>
    <w:p>
      <w:pPr>
        <w:pStyle w:val="BodyText"/>
      </w:pPr>
      <w:r>
        <w:t xml:space="preserve">Description of Architectural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RIBA Plan of Work Stage 3: Developed Design</w:t>
            </w:r>
            <w:r>
              <w:br/>
            </w:r>
            <w:r>
              <w:t xml:space="preserve">Preparation of detailed architectural drawings for planning submission compliance within Greater London. Includes refinement of structural integration, facade detailing, and internal spatial planning.</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rPr>
                <w:bCs/>
                <w:b/>
              </w:rPr>
              <w:t xml:space="preserve">London Planning Authority Liaison</w:t>
            </w:r>
            <w:r>
              <w:br/>
            </w:r>
            <w:r>
              <w:t xml:space="preserve">Consultation and correspondence with the London Borough of Southwark regarding heritage constraints and conservation area permissions. Preparation of Design and Access Statements.</w:t>
            </w:r>
          </w:p>
        </w:tc>
        <w:tc>
          <w:tcPr/>
          <w:p>
            <w:pPr>
              <w:pStyle w:val="Compact"/>
              <w:jc w:val="left"/>
            </w:pPr>
            <w:r>
              <w:t xml:space="preserve">12.5</w:t>
            </w:r>
          </w:p>
        </w:tc>
        <w:tc>
          <w:tcPr/>
          <w:p>
            <w:pPr>
              <w:pStyle w:val="Compact"/>
              <w:jc w:val="left"/>
            </w:pPr>
            <w:r>
              <w:t xml:space="preserve">185.00</w:t>
            </w:r>
          </w:p>
        </w:tc>
        <w:tc>
          <w:tcPr/>
          <w:p>
            <w:pPr>
              <w:pStyle w:val="Compact"/>
              <w:jc w:val="left"/>
            </w:pPr>
            <w:r>
              <w:t xml:space="preserve">2,312.50</w:t>
            </w:r>
          </w:p>
        </w:tc>
      </w:tr>
      <w:tr>
        <w:tc>
          <w:tcPr/>
          <w:p>
            <w:pPr>
              <w:pStyle w:val="Compact"/>
              <w:jc w:val="left"/>
            </w:pPr>
            <w:r>
              <w:rPr>
                <w:bCs/>
                <w:b/>
              </w:rPr>
              <w:t xml:space="preserve">Building Regulations Compliance Review</w:t>
            </w:r>
            <w:r>
              <w:br/>
            </w:r>
            <w:r>
              <w:t xml:space="preserve">Detailed review of architectural plans against UK Building Regulations (Part A, B, M, and L). Ensuring compliance with London Plan policies on sustainability and energy efficiency.</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w:t>
            </w:r>
          </w:p>
        </w:tc>
      </w:tr>
      <w:tr>
        <w:tc>
          <w:tcPr/>
          <w:p>
            <w:pPr>
              <w:pStyle w:val="Compact"/>
              <w:jc w:val="left"/>
            </w:pPr>
            <w:r>
              <w:rPr>
                <w:bCs/>
                <w:b/>
              </w:rPr>
              <w:t xml:space="preserve">Site Survey and Analysis</w:t>
            </w:r>
            <w:r>
              <w:br/>
            </w:r>
            <w:r>
              <w:t xml:space="preserve">On-site architectural survey conducted in London to verify existing conditions, measure structural elements, and assess site logistics for the proposed development.</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rPr>
                <w:bCs/>
                <w:b/>
              </w:rPr>
              <w:t xml:space="preserve">3D Visualization and Rendering</w:t>
            </w:r>
            <w:r>
              <w:br/>
            </w:r>
            <w:r>
              <w:t xml:space="preserve">Creation of high-fidelity photorealistic renderings for client presentation and marketing purposes, showcasing the architectural integration into the London skyline.</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Coordination with Structural and MEP Engineers</w:t>
            </w:r>
            <w:r>
              <w:br/>
            </w:r>
            <w:r>
              <w:t xml:space="preserve">Leading coordination meetings in London to align architectural intent with structural engineering and mechanical, electrical, and plumbing systems design.</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bl>
    <w:p>
      <w:pPr>
        <w:pStyle w:val="BodyText"/>
      </w:pPr>
      <w:r>
        <w:t xml:space="preserve">Subtotal (Net)</w:t>
      </w:r>
      <w:r>
        <w:t xml:space="preserve"> </w:t>
      </w:r>
      <w:r>
        <w:t xml:space="preserve">£20,412.50</w:t>
      </w:r>
    </w:p>
    <w:p>
      <w:pPr>
        <w:pStyle w:val="BodyText"/>
      </w:pPr>
      <w:r>
        <w:t xml:space="preserve">VAT (20%)</w:t>
      </w:r>
      <w:r>
        <w:t xml:space="preserve"> </w:t>
      </w:r>
      <w:r>
        <w:t xml:space="preserve">£4,082.50</w:t>
      </w:r>
    </w:p>
    <w:p>
      <w:pPr>
        <w:pStyle w:val="BodyText"/>
      </w:pPr>
      <w:r>
        <w:t xml:space="preserve">TOTAL DUE</w:t>
      </w:r>
      <w:r>
        <w:t xml:space="preserve"> </w:t>
      </w:r>
      <w:r>
        <w:t xml:space="preserve">£24,495.00</w:t>
      </w:r>
    </w:p>
    <w:p>
      <w:pPr>
        <w:pStyle w:val="BodyText"/>
      </w:pPr>
      <w:r>
        <w:t xml:space="preserve">Payment Instructions</w:t>
      </w:r>
    </w:p>
    <w:p>
      <w:pPr>
        <w:pStyle w:val="BodyText"/>
      </w:pPr>
      <w:r>
        <w:t xml:space="preserve">Please make payment within 30 days of the invoice date. Late payments may incur interest charges in accordance with the Late Payment of Commercial Debts (Interest) Act 1998.</w:t>
      </w:r>
    </w:p>
    <w:p>
      <w:pPr>
        <w:pStyle w:val="BodyText"/>
      </w:pPr>
      <w:r>
        <w:rPr>
          <w:bCs/>
          <w:b/>
        </w:rPr>
        <w:t xml:space="preserve">Bank Name:</w:t>
      </w:r>
      <w:r>
        <w:t xml:space="preserve"> </w:t>
      </w:r>
      <w:r>
        <w:t xml:space="preserve">Barclays Bank PLC</w:t>
      </w:r>
      <w:r>
        <w:br/>
      </w:r>
      <w:r>
        <w:rPr>
          <w:bCs/>
          <w:b/>
        </w:rPr>
        <w:t xml:space="preserve">Account Name:</w:t>
      </w:r>
      <w:r>
        <w:t xml:space="preserve"> </w:t>
      </w:r>
      <w:r>
        <w:t xml:space="preserve">Thames &amp; Tower Architectural Studio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BIC/SWIFT:</w:t>
      </w:r>
      <w:r>
        <w:t xml:space="preserve"> </w:t>
      </w:r>
      <w:r>
        <w:t xml:space="preserve">BARCGB22</w:t>
      </w:r>
      <w:r>
        <w:br/>
      </w:r>
      <w:r>
        <w:rPr>
          <w:bCs/>
          <w:b/>
        </w:rPr>
        <w:t xml:space="preserve">Reference:</w:t>
      </w:r>
      <w:r>
        <w:t xml:space="preserve"> </w:t>
      </w:r>
      <w:r>
        <w:t xml:space="preserve">INV-LON-2023-089</w:t>
      </w:r>
    </w:p>
    <w:bookmarkStart w:id="22" w:name="X077b89ab79e810fdfbf3de01d1ac6c9255284ac"/>
    <w:p>
      <w:pPr>
        <w:pStyle w:val="Heading3"/>
      </w:pPr>
      <w:r>
        <w:t xml:space="preserve">Terms and Conditions of Architectural Services</w:t>
      </w:r>
    </w:p>
    <w:p>
      <w:pPr>
        <w:numPr>
          <w:ilvl w:val="0"/>
          <w:numId w:val="1001"/>
        </w:numPr>
        <w:pStyle w:val="Compact"/>
      </w:pPr>
      <w:r>
        <w:rPr>
          <w:bCs/>
          <w:b/>
        </w:rPr>
        <w:t xml:space="preserve">Scope of Work:</w:t>
      </w:r>
      <w:r>
        <w:t xml:space="preserve"> </w:t>
      </w:r>
      <w:r>
        <w:t xml:space="preserve">This invoice covers the architectural services rendered as per the agreed contract dated 15 August 2023. Any additional services requested outside this scope will be billed separately.</w:t>
      </w:r>
    </w:p>
    <w:p>
      <w:pPr>
        <w:numPr>
          <w:ilvl w:val="0"/>
          <w:numId w:val="1001"/>
        </w:numPr>
        <w:pStyle w:val="Compact"/>
      </w:pPr>
      <w:r>
        <w:rPr>
          <w:bCs/>
          <w:b/>
        </w:rPr>
        <w:t xml:space="preserve">Intellectual Property:</w:t>
      </w:r>
      <w:r>
        <w:t xml:space="preserve"> </w:t>
      </w:r>
      <w:r>
        <w:t xml:space="preserve">All architectural drawings, designs, and specifications remain the intellectual property of Thames &amp; Tower Architectural Studio until full payment is received. Upon payment, limited license is granted for the specific project in London.</w:t>
      </w:r>
    </w:p>
    <w:p>
      <w:pPr>
        <w:numPr>
          <w:ilvl w:val="0"/>
          <w:numId w:val="1001"/>
        </w:numPr>
        <w:pStyle w:val="Compact"/>
      </w:pPr>
      <w:r>
        <w:rPr>
          <w:bCs/>
          <w:b/>
        </w:rPr>
        <w:t xml:space="preserve">Revisions:</w:t>
      </w:r>
      <w:r>
        <w:t xml:space="preserve"> </w:t>
      </w:r>
      <w:r>
        <w:t xml:space="preserve">The fee includes up to two rounds of revisions for each stage of design. Additional revisions will be charged at the standard hourly rate of £185.00 + VAT.</w:t>
      </w:r>
    </w:p>
    <w:p>
      <w:pPr>
        <w:numPr>
          <w:ilvl w:val="0"/>
          <w:numId w:val="1001"/>
        </w:numPr>
        <w:pStyle w:val="Compact"/>
      </w:pPr>
      <w:r>
        <w:rPr>
          <w:bCs/>
          <w:b/>
        </w:rPr>
        <w:t xml:space="preserve">Regulatory Compliance:</w:t>
      </w:r>
      <w:r>
        <w:t xml:space="preserve"> </w:t>
      </w:r>
      <w:r>
        <w:t xml:space="preserve">The Architect ensures designs comply with current UK Building Regulations and London Plan guidelines at the time of submission. Changes in legislation after submission may incur additional fees.</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mediation in London, United Kingdom, in accordance with English Law.</w:t>
      </w:r>
    </w:p>
    <w:p>
      <w:pPr>
        <w:numPr>
          <w:ilvl w:val="0"/>
          <w:numId w:val="1001"/>
        </w:numPr>
        <w:pStyle w:val="Compact"/>
      </w:pPr>
      <w:r>
        <w:rPr>
          <w:bCs/>
          <w:b/>
        </w:rPr>
        <w:t xml:space="preserve">Force Majeure:</w:t>
      </w:r>
      <w:r>
        <w:t xml:space="preserve"> </w:t>
      </w:r>
      <w:r>
        <w:t xml:space="preserve">The Architect is not liable for delays caused by events beyond reasonable control, including but not limited to strikes, natural disasters, or changes in government policy affecting construction in the United Kingdom.</w:t>
      </w:r>
    </w:p>
    <w:p>
      <w:pPr>
        <w:numPr>
          <w:ilvl w:val="0"/>
          <w:numId w:val="1001"/>
        </w:numPr>
        <w:pStyle w:val="Compact"/>
      </w:pPr>
      <w:r>
        <w:rPr>
          <w:bCs/>
          <w:b/>
        </w:rPr>
        <w:t xml:space="preserve">Professional Indemnity:</w:t>
      </w:r>
      <w:r>
        <w:t xml:space="preserve"> </w:t>
      </w:r>
      <w:r>
        <w:t xml:space="preserve">Thames &amp; Tower Architectural Studio maintains professional indemnity insurance with a limit of £5,000,000 per claim, as required by the Architects Registration Board (ARB).</w:t>
      </w:r>
    </w:p>
    <w:p>
      <w:pPr>
        <w:numPr>
          <w:ilvl w:val="0"/>
          <w:numId w:val="1001"/>
        </w:numPr>
        <w:pStyle w:val="Compact"/>
      </w:pPr>
      <w:r>
        <w:rPr>
          <w:bCs/>
          <w:b/>
        </w:rPr>
        <w:t xml:space="preserve">Payment Terms:</w:t>
      </w:r>
      <w:r>
        <w:t xml:space="preserve"> </w:t>
      </w:r>
      <w:r>
        <w:t xml:space="preserve">Payment is due within 30 days. If payment is not received by the due date, interest will be charged at 8% above the Bank of England base rate per annum on the outstanding amount.</w:t>
      </w:r>
    </w:p>
    <w:p>
      <w:pPr>
        <w:numPr>
          <w:ilvl w:val="0"/>
          <w:numId w:val="1001"/>
        </w:numPr>
        <w:pStyle w:val="Compact"/>
      </w:pPr>
      <w:r>
        <w:rPr>
          <w:bCs/>
          <w:b/>
        </w:rPr>
        <w:t xml:space="preserve">Site Visits:</w:t>
      </w:r>
      <w:r>
        <w:t xml:space="preserve"> </w:t>
      </w:r>
      <w:r>
        <w:t xml:space="preserve">Travel expenses for site visits outside of Central London (Zone 1-2) will be billed at actual cost plus a handling fee of £25.00 per visit.</w:t>
      </w:r>
    </w:p>
    <w:p>
      <w:pPr>
        <w:numPr>
          <w:ilvl w:val="0"/>
          <w:numId w:val="1001"/>
        </w:numPr>
        <w:pStyle w:val="Compact"/>
      </w:pPr>
      <w:r>
        <w:rPr>
          <w:bCs/>
          <w:b/>
        </w:rPr>
        <w:t xml:space="preserve">Termination:</w:t>
      </w:r>
      <w:r>
        <w:t xml:space="preserve"> </w:t>
      </w:r>
      <w:r>
        <w:t xml:space="preserve">Either party may terminate the contract with 14 days written notice. In the event of termination by the client, all work completed up to the date of termination must be paid for in full.</w:t>
      </w:r>
    </w:p>
    <w:bookmarkEnd w:id="22"/>
    <w:p>
      <w:pPr>
        <w:pStyle w:val="FirstParagraph"/>
      </w:pPr>
      <w:r>
        <w:t xml:space="preserve">Thank you for your business. We appreciate your trust in our architectural expertise.</w:t>
      </w:r>
      <w:r>
        <w:br/>
      </w:r>
      <w:r>
        <w:t xml:space="preserve">Thames &amp; Tower Architectural Studio Ltd is a member of the Royal Institute of British Architects (RIBA) and the Architects Registration Board (ARB).</w:t>
      </w:r>
      <w:r>
        <w:br/>
      </w:r>
      <w:r>
        <w:t xml:space="preserve">Registered in England and Wales. Company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United Kingdom London</dc:title>
  <dc:creator/>
  <dc:language>en</dc:language>
  <cp:keywords/>
  <dcterms:created xsi:type="dcterms:W3CDTF">2026-10-10T01:22:37Z</dcterms:created>
  <dcterms:modified xsi:type="dcterms:W3CDTF">2026-10-10T01:22:37Z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