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Houston,</w:t>
      </w:r>
      <w:r>
        <w:t xml:space="preserve"> </w:t>
      </w:r>
      <w:r>
        <w:t xml:space="preserve">TX</w:t>
      </w:r>
    </w:p>
    <w:bookmarkStart w:id="20" w:name="houston-premier-architecture"/>
    <w:p>
      <w:pPr>
        <w:pStyle w:val="Heading1"/>
      </w:pPr>
      <w:r>
        <w:t xml:space="preserve">Houston Premier Architecture</w:t>
      </w:r>
    </w:p>
    <w:p>
      <w:pPr>
        <w:pStyle w:val="FirstParagraph"/>
      </w:pPr>
      <w:r>
        <w:t xml:space="preserve">1200 Main Street, Suite 400</w:t>
      </w:r>
    </w:p>
    <w:p>
      <w:pPr>
        <w:pStyle w:val="BodyText"/>
      </w:pPr>
      <w:r>
        <w:t xml:space="preserve">Houston, Texas 77002</w:t>
      </w:r>
    </w:p>
    <w:p>
      <w:pPr>
        <w:pStyle w:val="BodyText"/>
      </w:pPr>
      <w:r>
        <w:t xml:space="preserve">United States</w:t>
      </w:r>
    </w:p>
    <w:p>
      <w:pPr>
        <w:pStyle w:val="BodyText"/>
      </w:pPr>
      <w:r>
        <w:t xml:space="preserve">Phone: (713) 555-0199</w:t>
      </w:r>
    </w:p>
    <w:p>
      <w:pPr>
        <w:pStyle w:val="BodyText"/>
      </w:pPr>
      <w:r>
        <w:t xml:space="preserve">Email: billing@houstonpremierarch.com</w:t>
      </w:r>
    </w:p>
    <w:p>
      <w:pPr>
        <w:pStyle w:val="BodyText"/>
      </w:pPr>
      <w:r>
        <w:t xml:space="preserve">TIN: 74-1234567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The Heights Modern Residence</w:t>
      </w:r>
    </w:p>
    <w:bookmarkEnd w:id="21"/>
    <w:bookmarkStart w:id="22" w:name="bill-to"/>
    <w:p>
      <w:pPr>
        <w:pStyle w:val="Heading3"/>
      </w:pPr>
      <w:r>
        <w:t xml:space="preserve">Bill To:</w:t>
      </w:r>
    </w:p>
    <w:p>
      <w:pPr>
        <w:pStyle w:val="FirstParagraph"/>
      </w:pPr>
      <w:r>
        <w:rPr>
          <w:bCs/>
          <w:b/>
        </w:rPr>
        <w:t xml:space="preserve">Mr. Robert &amp; Mrs. Sarah Jenkins</w:t>
      </w:r>
    </w:p>
    <w:p>
      <w:pPr>
        <w:pStyle w:val="BodyText"/>
      </w:pPr>
      <w:r>
        <w:t xml:space="preserve">4500 Westheimer Road</w:t>
      </w:r>
    </w:p>
    <w:p>
      <w:pPr>
        <w:pStyle w:val="BodyText"/>
      </w:pPr>
      <w:r>
        <w:t xml:space="preserve">Houston, Texas 77027</w:t>
      </w:r>
    </w:p>
    <w:p>
      <w:pPr>
        <w:pStyle w:val="BodyText"/>
      </w:pPr>
      <w:r>
        <w:t xml:space="preserve">United States</w:t>
      </w:r>
    </w:p>
    <w:bookmarkEnd w:id="22"/>
    <w:bookmarkStart w:id="23" w:name="project-location"/>
    <w:p>
      <w:pPr>
        <w:pStyle w:val="Heading3"/>
      </w:pPr>
      <w:r>
        <w:t xml:space="preserve">Project Location:</w:t>
      </w:r>
    </w:p>
    <w:p>
      <w:pPr>
        <w:pStyle w:val="FirstParagraph"/>
      </w:pPr>
      <w:r>
        <w:t xml:space="preserve">8800 Memorial Drive</w:t>
      </w:r>
    </w:p>
    <w:p>
      <w:pPr>
        <w:pStyle w:val="BodyText"/>
      </w:pPr>
      <w:r>
        <w:t xml:space="preserve">Houston, Texas 77024</w:t>
      </w:r>
    </w:p>
    <w:p>
      <w:pPr>
        <w:pStyle w:val="BodyText"/>
      </w:pPr>
      <w:r>
        <w:t xml:space="preserve">United States</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Architectural Services</w:t>
            </w:r>
          </w:p>
        </w:tc>
        <w:tc>
          <w:tcPr/>
          <w:p>
            <w:pPr>
              <w:pStyle w:val="Compact"/>
              <w:jc w:val="left"/>
            </w:pPr>
            <w:r>
              <w:t xml:space="preserve">Hours / Units</w:t>
            </w:r>
          </w:p>
        </w:tc>
        <w:tc>
          <w:tcPr/>
          <w:p>
            <w:pPr>
              <w:pStyle w:val="Compact"/>
              <w:jc w:val="left"/>
            </w:pPr>
            <w:r>
              <w:t xml:space="preserve">Rate / Unit Price</w:t>
            </w:r>
          </w:p>
        </w:tc>
        <w:tc>
          <w:tcPr/>
          <w:p>
            <w:pPr>
              <w:pStyle w:val="Compact"/>
              <w:jc w:val="left"/>
            </w:pPr>
            <w:r>
              <w:t xml:space="preserve">Amount (USD)</w:t>
            </w:r>
          </w:p>
        </w:tc>
      </w:tr>
      <w:tr>
        <w:tc>
          <w:tcPr/>
          <w:p>
            <w:pPr>
              <w:pStyle w:val="Compact"/>
              <w:jc w:val="left"/>
            </w:pPr>
            <w:r>
              <w:rPr>
                <w:bCs/>
                <w:b/>
              </w:rPr>
              <w:t xml:space="preserve">Phase 1: Schematic Design &amp; Site Analysis</w:t>
            </w:r>
            <w:r>
              <w:br/>
            </w:r>
            <w:r>
              <w:t xml:space="preserve">Comprehensive site analysis of the Houston property, including soil conditions and flood zone mapping specific to Harris County regulations. Development of initial conceptual sketches, massing studies, and floor plan layouts tailored to the client's requirements for a modern family residence.</w:t>
            </w:r>
          </w:p>
        </w:tc>
        <w:tc>
          <w:tcPr/>
          <w:p>
            <w:pPr>
              <w:pStyle w:val="Compact"/>
              <w:jc w:val="left"/>
            </w:pPr>
            <w:r>
              <w:t xml:space="preserve">45.0</w:t>
            </w:r>
          </w:p>
        </w:tc>
        <w:tc>
          <w:tcPr/>
          <w:p>
            <w:pPr>
              <w:pStyle w:val="Compact"/>
              <w:jc w:val="left"/>
            </w:pPr>
            <w:r>
              <w:t xml:space="preserve">$225.00</w:t>
            </w:r>
          </w:p>
        </w:tc>
        <w:tc>
          <w:tcPr/>
          <w:p>
            <w:pPr>
              <w:pStyle w:val="Compact"/>
              <w:jc w:val="left"/>
            </w:pPr>
            <w:r>
              <w:t xml:space="preserve">$10,125.00</w:t>
            </w:r>
          </w:p>
        </w:tc>
      </w:tr>
      <w:tr>
        <w:tc>
          <w:tcPr/>
          <w:p>
            <w:pPr>
              <w:pStyle w:val="Compact"/>
              <w:jc w:val="left"/>
            </w:pPr>
            <w:r>
              <w:rPr>
                <w:bCs/>
                <w:b/>
              </w:rPr>
              <w:t xml:space="preserve">Phase 2: Design Development</w:t>
            </w:r>
            <w:r>
              <w:br/>
            </w:r>
            <w:r>
              <w:t xml:space="preserve">Refinement of the approved schematic design. Detailed selection of materials, finishes, and fixtures suitable for the Houston climate. Coordination with structural engineers and MEP consultants to ensure the architectural vision is technically feasible and compliant with the International Building Code (IBC) as adopted by the City of Houston.</w:t>
            </w:r>
          </w:p>
        </w:tc>
        <w:tc>
          <w:tcPr/>
          <w:p>
            <w:pPr>
              <w:pStyle w:val="Compact"/>
              <w:jc w:val="left"/>
            </w:pPr>
            <w:r>
              <w:t xml:space="preserve">60.0</w:t>
            </w:r>
          </w:p>
        </w:tc>
        <w:tc>
          <w:tcPr/>
          <w:p>
            <w:pPr>
              <w:pStyle w:val="Compact"/>
              <w:jc w:val="left"/>
            </w:pPr>
            <w:r>
              <w:t xml:space="preserve">$225.00</w:t>
            </w:r>
          </w:p>
        </w:tc>
        <w:tc>
          <w:tcPr/>
          <w:p>
            <w:pPr>
              <w:pStyle w:val="Compact"/>
              <w:jc w:val="left"/>
            </w:pPr>
            <w:r>
              <w:t xml:space="preserve">$13,500.00</w:t>
            </w:r>
          </w:p>
        </w:tc>
      </w:tr>
      <w:tr>
        <w:tc>
          <w:tcPr/>
          <w:p>
            <w:pPr>
              <w:pStyle w:val="Compact"/>
              <w:jc w:val="left"/>
            </w:pPr>
            <w:r>
              <w:rPr>
                <w:bCs/>
                <w:b/>
              </w:rPr>
              <w:t xml:space="preserve">Phase 3: Construction Documents</w:t>
            </w:r>
            <w:r>
              <w:br/>
            </w:r>
            <w:r>
              <w:t xml:space="preserve">Preparation of detailed architectural drawings and specifications required for permitting and construction. This includes foundation plans, framing plans, elevations, sections, and wall details. Ensuring all documentation meets the strict submission requirements of the Houston Planning and Development Department.</w:t>
            </w:r>
          </w:p>
        </w:tc>
        <w:tc>
          <w:tcPr/>
          <w:p>
            <w:pPr>
              <w:pStyle w:val="Compact"/>
              <w:jc w:val="left"/>
            </w:pPr>
            <w:r>
              <w:t xml:space="preserve">120.0</w:t>
            </w:r>
          </w:p>
        </w:tc>
        <w:tc>
          <w:tcPr/>
          <w:p>
            <w:pPr>
              <w:pStyle w:val="Compact"/>
              <w:jc w:val="left"/>
            </w:pPr>
            <w:r>
              <w:t xml:space="preserve">$225.00</w:t>
            </w:r>
          </w:p>
        </w:tc>
        <w:tc>
          <w:tcPr/>
          <w:p>
            <w:pPr>
              <w:pStyle w:val="Compact"/>
              <w:jc w:val="left"/>
            </w:pPr>
            <w:r>
              <w:t xml:space="preserve">$27,000.00</w:t>
            </w:r>
          </w:p>
        </w:tc>
      </w:tr>
      <w:tr>
        <w:tc>
          <w:tcPr/>
          <w:p>
            <w:pPr>
              <w:pStyle w:val="Compact"/>
              <w:jc w:val="left"/>
            </w:pPr>
            <w:r>
              <w:rPr>
                <w:bCs/>
                <w:b/>
              </w:rPr>
              <w:t xml:space="preserve">Permitting Assistance &amp; Coordination</w:t>
            </w:r>
            <w:r>
              <w:br/>
            </w:r>
            <w:r>
              <w:t xml:space="preserve">Submission of architectural plans to the City of Houston for building permit approval. Addressing any comments or requests for information (RFIs) from city officials to expedite the approval process. Coordination with utility providers for service connections.</w:t>
            </w:r>
          </w:p>
        </w:tc>
        <w:tc>
          <w:tcPr/>
          <w:p>
            <w:pPr>
              <w:pStyle w:val="Compact"/>
              <w:jc w:val="left"/>
            </w:pPr>
            <w:r>
              <w:t xml:space="preserve">15.0</w:t>
            </w:r>
          </w:p>
        </w:tc>
        <w:tc>
          <w:tcPr/>
          <w:p>
            <w:pPr>
              <w:pStyle w:val="Compact"/>
              <w:jc w:val="left"/>
            </w:pPr>
            <w:r>
              <w:t xml:space="preserve">$225.00</w:t>
            </w:r>
          </w:p>
        </w:tc>
        <w:tc>
          <w:tcPr/>
          <w:p>
            <w:pPr>
              <w:pStyle w:val="Compact"/>
              <w:jc w:val="left"/>
            </w:pPr>
            <w:r>
              <w:t xml:space="preserve">$3,375.00</w:t>
            </w:r>
          </w:p>
        </w:tc>
      </w:tr>
      <w:tr>
        <w:tc>
          <w:tcPr/>
          <w:p>
            <w:pPr>
              <w:pStyle w:val="Compact"/>
              <w:jc w:val="left"/>
            </w:pPr>
            <w:r>
              <w:rPr>
                <w:bCs/>
                <w:b/>
              </w:rPr>
              <w:t xml:space="preserve">Phase 4: Construction Administration (Initial)</w:t>
            </w:r>
            <w:r>
              <w:br/>
            </w:r>
            <w:r>
              <w:t xml:space="preserve">Initial site visits to verify that the construction work aligns with the architectural intent and approved documents. Review of contractor submittals and shop drawings. Issuance of field directives as necessary to resolve on-site issues during the early stages of construction.</w:t>
            </w:r>
          </w:p>
        </w:tc>
        <w:tc>
          <w:tcPr/>
          <w:p>
            <w:pPr>
              <w:pStyle w:val="Compact"/>
              <w:jc w:val="left"/>
            </w:pPr>
            <w:r>
              <w:t xml:space="preserve">25.0</w:t>
            </w:r>
          </w:p>
        </w:tc>
        <w:tc>
          <w:tcPr/>
          <w:p>
            <w:pPr>
              <w:pStyle w:val="Compact"/>
              <w:jc w:val="left"/>
            </w:pPr>
            <w:r>
              <w:t xml:space="preserve">$225.00</w:t>
            </w:r>
          </w:p>
        </w:tc>
        <w:tc>
          <w:tcPr/>
          <w:p>
            <w:pPr>
              <w:pStyle w:val="Compact"/>
              <w:jc w:val="left"/>
            </w:pPr>
            <w:r>
              <w:t xml:space="preserve">$5,625.00</w:t>
            </w:r>
          </w:p>
        </w:tc>
      </w:tr>
      <w:tr>
        <w:tc>
          <w:tcPr/>
          <w:p>
            <w:pPr>
              <w:pStyle w:val="Compact"/>
              <w:jc w:val="left"/>
            </w:pPr>
            <w:r>
              <w:rPr>
                <w:bCs/>
                <w:b/>
              </w:rPr>
              <w:t xml:space="preserve">3D Rendering &amp; Visualization</w:t>
            </w:r>
            <w:r>
              <w:br/>
            </w:r>
            <w:r>
              <w:t xml:space="preserve">Creation of high-quality photorealistic 3D renderings of the exterior and key interior spaces to assist the client in visualizing the final outcome. These visuals were instrumental in securing design approvals and guiding material selections.</w:t>
            </w:r>
          </w:p>
        </w:tc>
        <w:tc>
          <w:tcPr/>
          <w:p>
            <w:pPr>
              <w:pStyle w:val="Compact"/>
              <w:jc w:val="left"/>
            </w:pPr>
            <w:r>
              <w:t xml:space="preserve">1.0</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$62,125.00</w:t>
      </w:r>
    </w:p>
    <w:p>
      <w:pPr>
        <w:pStyle w:val="BodyText"/>
      </w:pPr>
      <w:r>
        <w:t xml:space="preserve">Tax (0% - Professional Services Exempt):</w:t>
      </w:r>
      <w:r>
        <w:t xml:space="preserve"> </w:t>
      </w:r>
      <w:r>
        <w:t xml:space="preserve">$0.00</w:t>
      </w:r>
    </w:p>
    <w:p>
      <w:pPr>
        <w:pStyle w:val="BodyText"/>
      </w:pPr>
      <w:r>
        <w:t xml:space="preserve">Total Due (USD):</w:t>
      </w:r>
      <w:r>
        <w:t xml:space="preserve"> </w:t>
      </w:r>
      <w:r>
        <w:t xml:space="preserve">$62,125.00</w:t>
      </w:r>
    </w:p>
    <w:bookmarkStart w:id="24" w:name="payment-terms-conditions"/>
    <w:p>
      <w:pPr>
        <w:pStyle w:val="Heading4"/>
      </w:pPr>
      <w:r>
        <w:t xml:space="preserve">Payment Terms &amp; Conditions</w:t>
      </w:r>
    </w:p>
    <w:p>
      <w:pPr>
        <w:pStyle w:val="FirstParagraph"/>
      </w:pPr>
      <w:r>
        <w:t xml:space="preserve">Payment is due within 30 days of the invoice date. Please make checks payable to "Houston Premier Architecture" or use the bank transfer details provided below. Late payments will incur a finance charge of 1.5% per month on the outstanding balance.</w:t>
      </w:r>
    </w:p>
    <w:p>
      <w:pPr>
        <w:pStyle w:val="BodyText"/>
      </w:pPr>
      <w:r>
        <w:rPr>
          <w:bCs/>
          <w:b/>
        </w:rPr>
        <w:t xml:space="preserve">Bank Transfer Details:</w:t>
      </w:r>
      <w:r>
        <w:br/>
      </w:r>
      <w:r>
        <w:t xml:space="preserve">Bank Name: First National Bank of Houston</w:t>
      </w:r>
      <w:r>
        <w:br/>
      </w:r>
      <w:r>
        <w:t xml:space="preserve">Account Name: Houston Premier Architecture LLC</w:t>
      </w:r>
      <w:r>
        <w:br/>
      </w:r>
      <w:r>
        <w:t xml:space="preserve">Routing Number: 111000025</w:t>
      </w:r>
      <w:r>
        <w:br/>
      </w:r>
      <w:r>
        <w:t xml:space="preserve">Account Number: 9876543210</w:t>
      </w:r>
      <w:r>
        <w:br/>
      </w:r>
      <w:r>
        <w:t xml:space="preserve">Reference: Invoice INV-2023-8842</w:t>
      </w:r>
    </w:p>
    <w:p>
      <w:pPr>
        <w:pStyle w:val="BodyText"/>
      </w:pPr>
      <w:r>
        <w:t xml:space="preserve">This invoice represents professional architectural services rendered in accordance with the Architectural Services Agreement dated January 15, 2023. All designs and drawings remain the intellectual property of Houston Premier Architecture until full payment is received.</w:t>
      </w:r>
    </w:p>
    <w:bookmarkEnd w:id="24"/>
    <w:p>
      <w:pPr>
        <w:pStyle w:val="BodyText"/>
      </w:pPr>
      <w:r>
        <w:rPr>
          <w:bCs/>
          <w:b/>
        </w:rPr>
        <w:t xml:space="preserve">Authorized Signature:</w:t>
      </w:r>
      <w:r>
        <w:br/>
      </w:r>
      <w:r>
        <w:rPr>
          <w:iCs/>
          <w:i/>
        </w:rPr>
        <w:t xml:space="preserve">J. Michael Torres, AIA</w:t>
      </w:r>
      <w:r>
        <w:br/>
      </w:r>
      <w:r>
        <w:t xml:space="preserve">Principal Architect</w:t>
      </w:r>
    </w:p>
    <w:p>
      <w:pPr>
        <w:pStyle w:val="BodyText"/>
      </w:pPr>
      <w:r>
        <w:rPr>
          <w:bCs/>
          <w:b/>
        </w:rPr>
        <w:t xml:space="preserve">Client Acceptance:</w:t>
      </w:r>
      <w:r>
        <w:br/>
      </w:r>
      <w:r>
        <w:rPr>
          <w:iCs/>
          <w:i/>
        </w:rPr>
        <w:t xml:space="preserve">__________________________</w:t>
      </w:r>
      <w:r>
        <w:br/>
      </w:r>
      <w:r>
        <w:t xml:space="preserve">Date: _______________</w:t>
      </w:r>
    </w:p>
    <w:p>
      <w:pPr>
        <w:pStyle w:val="BodyText"/>
      </w:pPr>
      <w:r>
        <w:t xml:space="preserve">Thank you for choosing Houston Premier Architecture for your project.</w:t>
      </w:r>
    </w:p>
    <w:p>
      <w:pPr>
        <w:pStyle w:val="BodyText"/>
      </w:pPr>
      <w:r>
        <w:t xml:space="preserve">We are committed to delivering exceptional design solutions tailored to the unique landscape and culture of Houston, Texas.</w:t>
      </w:r>
    </w:p>
    <w:p>
      <w:pPr>
        <w:pStyle w:val="BodyText"/>
      </w:pPr>
      <w:r>
        <w:t xml:space="preserve">© 2023 Houston Premier Architecture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Houston, TX</dc:title>
  <dc:creator/>
  <dc:language>en</dc:language>
  <cp:keywords/>
  <dcterms:created xsi:type="dcterms:W3CDTF">2026-10-10T03:39:09Z</dcterms:created>
  <dcterms:modified xsi:type="dcterms:W3CDTF">2026-10-10T03:39:09Z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