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Los</w:t>
      </w:r>
      <w:r>
        <w:t xml:space="preserve"> </w:t>
      </w:r>
      <w:r>
        <w:t xml:space="preserve">Angeles,</w:t>
      </w:r>
      <w:r>
        <w:t xml:space="preserve"> </w:t>
      </w:r>
      <w:r>
        <w:t xml:space="preserve">CA</w:t>
      </w:r>
    </w:p>
    <w:bookmarkStart w:id="20" w:name="apex-architectural-studio"/>
    <w:p>
      <w:pPr>
        <w:pStyle w:val="Heading1"/>
      </w:pPr>
      <w:r>
        <w:t xml:space="preserve">Apex Architectural Studio</w:t>
      </w:r>
    </w:p>
    <w:p>
      <w:pPr>
        <w:pStyle w:val="FirstParagraph"/>
      </w:pPr>
      <w:r>
        <w:t xml:space="preserve">1234 Wilshire Boulevard, Suite 500</w:t>
      </w:r>
    </w:p>
    <w:p>
      <w:pPr>
        <w:pStyle w:val="BodyText"/>
      </w:pPr>
      <w:r>
        <w:t xml:space="preserve">Los Angeles, California 90017</w:t>
      </w:r>
    </w:p>
    <w:p>
      <w:pPr>
        <w:pStyle w:val="BodyText"/>
      </w:pPr>
      <w:r>
        <w:t xml:space="preserve">United States</w:t>
      </w:r>
    </w:p>
    <w:p>
      <w:pPr>
        <w:pStyle w:val="BodyText"/>
      </w:pPr>
      <w:r>
        <w:t xml:space="preserve">Phone: (213) 555-0199 | Email: billing@apexarchla.com</w:t>
      </w:r>
    </w:p>
    <w:p>
      <w:pPr>
        <w:pStyle w:val="BodyText"/>
      </w:pPr>
      <w:r>
        <w:t xml:space="preserve">CA Contractor License #987654 | AIA Member</w:t>
      </w:r>
    </w:p>
    <w:bookmarkEnd w:id="20"/>
    <w:bookmarkStart w:id="21" w:name="invoice"/>
    <w:p>
      <w:pPr>
        <w:pStyle w:val="Heading2"/>
      </w:pPr>
      <w:r>
        <w:t xml:space="preserve">INVOICE</w:t>
      </w:r>
    </w:p>
    <w:p>
      <w:pPr>
        <w:pStyle w:val="FirstParagraph"/>
      </w:pPr>
      <w:r>
        <w:t xml:space="preserve">Professional Architectural Services</w:t>
      </w:r>
    </w:p>
    <w:bookmarkEnd w:id="21"/>
    <w:bookmarkStart w:id="22" w:name="bill-to"/>
    <w:p>
      <w:pPr>
        <w:pStyle w:val="Heading3"/>
      </w:pPr>
      <w:r>
        <w:t xml:space="preserve">Bill To:</w:t>
      </w:r>
    </w:p>
    <w:p>
      <w:pPr>
        <w:pStyle w:val="FirstParagraph"/>
      </w:pPr>
      <w:r>
        <w:rPr>
          <w:bCs/>
          <w:b/>
        </w:rPr>
        <w:t xml:space="preserve">Westside Residential Development LLC</w:t>
      </w:r>
    </w:p>
    <w:p>
      <w:pPr>
        <w:pStyle w:val="BodyText"/>
      </w:pPr>
      <w:r>
        <w:t xml:space="preserve">Attn: Mr. Jonathan Sterling</w:t>
      </w:r>
    </w:p>
    <w:p>
      <w:pPr>
        <w:pStyle w:val="BodyText"/>
      </w:pPr>
      <w:r>
        <w:t xml:space="preserve">8888 Santa Monica Blvd</w:t>
      </w:r>
    </w:p>
    <w:p>
      <w:pPr>
        <w:pStyle w:val="BodyText"/>
      </w:pPr>
      <w:r>
        <w:t xml:space="preserve">West Hollywood, CA 90069</w:t>
      </w:r>
    </w:p>
    <w:p>
      <w:pPr>
        <w:pStyle w:val="BodyText"/>
      </w:pPr>
      <w:r>
        <w:t xml:space="preserve">United States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Name:</w:t>
      </w:r>
      <w:r>
        <w:t xml:space="preserve"> </w:t>
      </w:r>
      <w:r>
        <w:t xml:space="preserve">Modernist Villa Renovation - Pacific Palisades</w:t>
      </w:r>
    </w:p>
    <w:p>
      <w:pPr>
        <w:pStyle w:val="BodyText"/>
      </w:pPr>
      <w:r>
        <w:rPr>
          <w:bCs/>
          <w:b/>
        </w:rPr>
        <w:t xml:space="preserve">Service Period:</w:t>
      </w:r>
      <w:r>
        <w:t xml:space="preserve"> </w:t>
      </w:r>
      <w:r>
        <w:t xml:space="preserve">September 1, 2023 - October 20,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Schematic Design Phase (SD):</w:t>
            </w:r>
            <w:r>
              <w:t xml:space="preserve"> </w:t>
            </w:r>
            <w:r>
              <w:t xml:space="preserve">Development of initial conceptual massing studies and floor plan layouts for the Pacific Palisades residence. Includes three (3) client consultation meetings held at our Los Angeles office to refine spatial requirements and aesthetic direction.</w:t>
            </w:r>
          </w:p>
        </w:tc>
        <w:tc>
          <w:tcPr/>
          <w:p>
            <w:pPr>
              <w:pStyle w:val="Compact"/>
              <w:jc w:val="left"/>
            </w:pPr>
            <w:r>
              <w:t xml:space="preserve">40.0</w:t>
            </w:r>
          </w:p>
        </w:tc>
        <w:tc>
          <w:tcPr/>
          <w:p>
            <w:pPr>
              <w:pStyle w:val="Compact"/>
              <w:jc w:val="left"/>
            </w:pPr>
            <w:r>
              <w:t xml:space="preserve">$225.00</w:t>
            </w:r>
          </w:p>
        </w:tc>
        <w:tc>
          <w:tcPr/>
          <w:p>
            <w:pPr>
              <w:pStyle w:val="Compact"/>
              <w:jc w:val="left"/>
            </w:pPr>
            <w:r>
              <w:t xml:space="preserve">$9,000.00</w:t>
            </w:r>
          </w:p>
        </w:tc>
      </w:tr>
      <w:tr>
        <w:tc>
          <w:tcPr/>
          <w:p>
            <w:pPr>
              <w:pStyle w:val="Compact"/>
              <w:jc w:val="left"/>
            </w:pPr>
            <w:r>
              <w:t xml:space="preserve">2</w:t>
            </w:r>
          </w:p>
        </w:tc>
        <w:tc>
          <w:tcPr/>
          <w:p>
            <w:pPr>
              <w:pStyle w:val="Compact"/>
              <w:jc w:val="left"/>
            </w:pPr>
            <w:r>
              <w:rPr>
                <w:bCs/>
                <w:b/>
              </w:rPr>
              <w:t xml:space="preserve">Design Development Phase (DD):</w:t>
            </w:r>
            <w:r>
              <w:t xml:space="preserve"> </w:t>
            </w:r>
            <w:r>
              <w:t xml:space="preserve">Refinement of approved schematic designs. Detailed selection of materials, finishes, and structural systems compliant with the Los Angeles Municipal Code (LAMC). Coordination with structural and MEP engineers to ensure feasibility.</w:t>
            </w:r>
          </w:p>
        </w:tc>
        <w:tc>
          <w:tcPr/>
          <w:p>
            <w:pPr>
              <w:pStyle w:val="Compact"/>
              <w:jc w:val="left"/>
            </w:pPr>
            <w:r>
              <w:t xml:space="preserve">65.0</w:t>
            </w:r>
          </w:p>
        </w:tc>
        <w:tc>
          <w:tcPr/>
          <w:p>
            <w:pPr>
              <w:pStyle w:val="Compact"/>
              <w:jc w:val="left"/>
            </w:pPr>
            <w:r>
              <w:t xml:space="preserve">$225.00</w:t>
            </w:r>
          </w:p>
        </w:tc>
        <w:tc>
          <w:tcPr/>
          <w:p>
            <w:pPr>
              <w:pStyle w:val="Compact"/>
              <w:jc w:val="left"/>
            </w:pPr>
            <w:r>
              <w:t xml:space="preserve">$14,625.00</w:t>
            </w:r>
          </w:p>
        </w:tc>
      </w:tr>
      <w:tr>
        <w:tc>
          <w:tcPr/>
          <w:p>
            <w:pPr>
              <w:pStyle w:val="Compact"/>
              <w:jc w:val="left"/>
            </w:pPr>
            <w:r>
              <w:t xml:space="preserve">3</w:t>
            </w:r>
          </w:p>
        </w:tc>
        <w:tc>
          <w:tcPr/>
          <w:p>
            <w:pPr>
              <w:pStyle w:val="Compact"/>
              <w:jc w:val="left"/>
            </w:pPr>
            <w:r>
              <w:rPr>
                <w:bCs/>
                <w:b/>
              </w:rPr>
              <w:t xml:space="preserve">3D Visualization &amp; Rendering:</w:t>
            </w:r>
            <w:r>
              <w:t xml:space="preserve"> </w:t>
            </w:r>
            <w:r>
              <w:t xml:space="preserve">Creation of photorealistic exterior and interior renderings to assist in client decision-making and permit approval visualization. Includes drone survey integration for accurate site context modeling.</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Construction Documents (CD) - Partial:</w:t>
            </w:r>
            <w:r>
              <w:t xml:space="preserve"> </w:t>
            </w:r>
            <w:r>
              <w:t xml:space="preserve">Preparation of preliminary construction drawings including site plans, foundation details, and framing plans. Ensuring adherence to California Building Code (CBC) and Title 24 energy efficiency standards.</w:t>
            </w:r>
          </w:p>
        </w:tc>
        <w:tc>
          <w:tcPr/>
          <w:p>
            <w:pPr>
              <w:pStyle w:val="Compact"/>
              <w:jc w:val="left"/>
            </w:pPr>
            <w:r>
              <w:t xml:space="preserve">55.0</w:t>
            </w:r>
          </w:p>
        </w:tc>
        <w:tc>
          <w:tcPr/>
          <w:p>
            <w:pPr>
              <w:pStyle w:val="Compact"/>
              <w:jc w:val="left"/>
            </w:pPr>
            <w:r>
              <w:t xml:space="preserve">$225.00</w:t>
            </w:r>
          </w:p>
        </w:tc>
        <w:tc>
          <w:tcPr/>
          <w:p>
            <w:pPr>
              <w:pStyle w:val="Compact"/>
              <w:jc w:val="left"/>
            </w:pPr>
            <w:r>
              <w:t xml:space="preserve">$12,375.00</w:t>
            </w:r>
          </w:p>
        </w:tc>
      </w:tr>
      <w:tr>
        <w:tc>
          <w:tcPr/>
          <w:p>
            <w:pPr>
              <w:pStyle w:val="Compact"/>
              <w:jc w:val="left"/>
            </w:pPr>
            <w:r>
              <w:t xml:space="preserve">5</w:t>
            </w:r>
          </w:p>
        </w:tc>
        <w:tc>
          <w:tcPr/>
          <w:p>
            <w:pPr>
              <w:pStyle w:val="Compact"/>
              <w:jc w:val="left"/>
            </w:pPr>
            <w:r>
              <w:rPr>
                <w:bCs/>
                <w:b/>
              </w:rPr>
              <w:t xml:space="preserve">Permitting Assistance:</w:t>
            </w:r>
            <w:r>
              <w:t xml:space="preserve"> </w:t>
            </w:r>
            <w:r>
              <w:t xml:space="preserve">Submission of architectural plans to the Los Angeles Department of Building and Safety (LADBS). Includes response to initial plan check comments and coordination with city planners regarding zoning variances.</w:t>
            </w:r>
          </w:p>
        </w:tc>
        <w:tc>
          <w:tcPr/>
          <w:p>
            <w:pPr>
              <w:pStyle w:val="Compact"/>
              <w:jc w:val="left"/>
            </w:pPr>
            <w:r>
              <w:t xml:space="preserve">20.0</w:t>
            </w:r>
          </w:p>
        </w:tc>
        <w:tc>
          <w:tcPr/>
          <w:p>
            <w:pPr>
              <w:pStyle w:val="Compact"/>
              <w:jc w:val="left"/>
            </w:pPr>
            <w:r>
              <w:t xml:space="preserve">$225.00</w:t>
            </w:r>
          </w:p>
        </w:tc>
        <w:tc>
          <w:tcPr/>
          <w:p>
            <w:pPr>
              <w:pStyle w:val="Compact"/>
              <w:jc w:val="left"/>
            </w:pPr>
            <w:r>
              <w:t xml:space="preserve">$4,500.00</w:t>
            </w:r>
          </w:p>
        </w:tc>
      </w:tr>
      <w:tr>
        <w:tc>
          <w:tcPr/>
          <w:p>
            <w:pPr>
              <w:pStyle w:val="Compact"/>
              <w:jc w:val="left"/>
            </w:pPr>
            <w:r>
              <w:t xml:space="preserve">6</w:t>
            </w:r>
          </w:p>
        </w:tc>
        <w:tc>
          <w:tcPr/>
          <w:p>
            <w:pPr>
              <w:pStyle w:val="Compact"/>
              <w:jc w:val="left"/>
            </w:pPr>
            <w:r>
              <w:rPr>
                <w:bCs/>
                <w:b/>
              </w:rPr>
              <w:t xml:space="preserve">Site Visits &amp; Consultation:</w:t>
            </w:r>
            <w:r>
              <w:t xml:space="preserve"> </w:t>
            </w:r>
            <w:r>
              <w:t xml:space="preserve">On-site architectural review at the Pacific Palisades location to verify existing conditions against survey data. Includes two (2) site walks with the general contractor to discuss logistical constraints.</w:t>
            </w:r>
          </w:p>
        </w:tc>
        <w:tc>
          <w:tcPr/>
          <w:p>
            <w:pPr>
              <w:pStyle w:val="Compact"/>
              <w:jc w:val="left"/>
            </w:pPr>
            <w:r>
              <w:t xml:space="preserve">8.0</w:t>
            </w:r>
          </w:p>
        </w:tc>
        <w:tc>
          <w:tcPr/>
          <w:p>
            <w:pPr>
              <w:pStyle w:val="Compact"/>
              <w:jc w:val="left"/>
            </w:pPr>
            <w:r>
              <w:t xml:space="preserve">$225.00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$44,100.00</w:t>
            </w:r>
          </w:p>
        </w:tc>
      </w:tr>
      <w:tr>
        <w:tc>
          <w:tcPr/>
          <w:p>
            <w:pPr>
              <w:pStyle w:val="Compact"/>
              <w:jc w:val="left"/>
            </w:pPr>
            <w:r>
              <w:t xml:space="preserve">Discount (Early Bird):</w:t>
            </w:r>
          </w:p>
        </w:tc>
        <w:tc>
          <w:tcPr/>
          <w:p>
            <w:pPr>
              <w:pStyle w:val="Compact"/>
              <w:jc w:val="left"/>
            </w:pPr>
            <w:r>
              <w:t xml:space="preserve">-$0.00</w:t>
            </w:r>
          </w:p>
        </w:tc>
      </w:tr>
      <w:tr>
        <w:tc>
          <w:tcPr/>
          <w:p>
            <w:pPr>
              <w:pStyle w:val="Compact"/>
              <w:jc w:val="left"/>
            </w:pPr>
            <w:r>
              <w:t xml:space="preserve">Tax (CA Sales Tax N/A for Professional Services):</w:t>
            </w:r>
          </w:p>
        </w:tc>
        <w:tc>
          <w:tcPr/>
          <w:p>
            <w:pPr>
              <w:pStyle w:val="Compact"/>
              <w:jc w:val="left"/>
            </w:pPr>
            <w:r>
              <w:t xml:space="preserve">$0.00</w:t>
            </w:r>
          </w:p>
        </w:tc>
      </w:tr>
      <w:tr>
        <w:tc>
          <w:tcPr/>
          <w:p>
            <w:pPr>
              <w:pStyle w:val="Compact"/>
              <w:jc w:val="left"/>
            </w:pPr>
            <w:r>
              <w:t xml:space="preserve">Total Due:</w:t>
            </w:r>
          </w:p>
        </w:tc>
        <w:tc>
          <w:tcPr/>
          <w:p>
            <w:pPr>
              <w:pStyle w:val="Compact"/>
              <w:jc w:val="left"/>
            </w:pPr>
            <w:r>
              <w:t xml:space="preserve">$44,100.00</w:t>
            </w:r>
          </w:p>
        </w:tc>
      </w:tr>
    </w:tbl>
    <w:bookmarkStart w:id="24" w:name="payment-terms-conditions"/>
    <w:p>
      <w:pPr>
        <w:pStyle w:val="Heading4"/>
      </w:pPr>
      <w:r>
        <w:t xml:space="preserve">Payment Terms &amp; Conditions:</w:t>
      </w:r>
    </w:p>
    <w:p>
      <w:pPr>
        <w:pStyle w:val="FirstParagraph"/>
      </w:pPr>
      <w:r>
        <w:t xml:space="preserve">Payment is due within thirty (30) days of the invoice date. Late payments will incur a finance charge of 1.5% per month on the outstanding balance, in accordance with California Commercial Code. Please make checks payable to "Apex Architectural Studio" or utilize our secure online payment portal linked below.</w:t>
      </w:r>
    </w:p>
    <w:p>
      <w:pPr>
        <w:pStyle w:val="BodyText"/>
      </w:pPr>
      <w:r>
        <w:rPr>
          <w:bCs/>
          <w:b/>
        </w:rPr>
        <w:t xml:space="preserve">Scope of Work Clarification:</w:t>
      </w:r>
      <w:r>
        <w:t xml:space="preserve"> </w:t>
      </w:r>
      <w:r>
        <w:t xml:space="preserve">This invoice covers professional architectural services rendered as an independent contractor. It does not include costs for third-party consultants (structural, civil, landscape), city permit fees, or construction costs. All designs are the intellectual property of Apex Architectural Studio until full payment is received.</w:t>
      </w:r>
    </w:p>
    <w:p>
      <w:pPr>
        <w:pStyle w:val="BodyText"/>
      </w:pPr>
      <w:r>
        <w:rPr>
          <w:bCs/>
          <w:b/>
        </w:rPr>
        <w:t xml:space="preserve">Los Angeles Specific Compliance:</w:t>
      </w:r>
      <w:r>
        <w:t xml:space="preserve"> </w:t>
      </w:r>
      <w:r>
        <w:t xml:space="preserve">All architectural deliverables included in this invoice have been prepared with strict adherence to the Los Angeles Green Building Code (LAGBC) and local seismic safety requirements. The Architect acts as the primary design coordinator but is not responsible for the means, methods, techniques, sequences, or procedures of construction.</w:t>
      </w:r>
    </w:p>
    <w:p>
      <w:pPr>
        <w:pStyle w:val="BodyText"/>
      </w:pPr>
      <w:r>
        <w:rPr>
          <w:bCs/>
          <w:b/>
        </w:rPr>
        <w:t xml:space="preserve">Dispute Resolution:</w:t>
      </w:r>
      <w:r>
        <w:t xml:space="preserve"> </w:t>
      </w:r>
      <w:r>
        <w:t xml:space="preserve">Any disputes arising from this invoice or the associated architectural services shall be resolved through mediation in Los Angeles County, California, before resorting to litigation.</w:t>
      </w:r>
    </w:p>
    <w:bookmarkEnd w:id="24"/>
    <w:p>
      <w:pPr>
        <w:pStyle w:val="BodyText"/>
      </w:pPr>
      <w:r>
        <w:rPr>
          <w:bCs/>
          <w:b/>
        </w:rPr>
        <w:t xml:space="preserve">Authorized Signature (Client)</w:t>
      </w:r>
      <w:r>
        <w:br/>
      </w:r>
      <w:r>
        <w:t xml:space="preserve">Date: _______________</w:t>
      </w:r>
    </w:p>
    <w:p>
      <w:pPr>
        <w:pStyle w:val="BodyText"/>
      </w:pPr>
      <w:r>
        <w:rPr>
          <w:bCs/>
          <w:b/>
        </w:rPr>
        <w:t xml:space="preserve">Accepted By (Architect)</w:t>
      </w:r>
      <w:r>
        <w:br/>
      </w:r>
      <w:r>
        <w:t xml:space="preserve">Sarah Jenkins, AIA</w:t>
      </w:r>
      <w:r>
        <w:br/>
      </w:r>
      <w:r>
        <w:t xml:space="preserve">Principal Architect</w:t>
      </w:r>
    </w:p>
    <w:p>
      <w:pPr>
        <w:pStyle w:val="BodyText"/>
      </w:pPr>
      <w:r>
        <w:t xml:space="preserve">Apex Architectural Studio | 1234 Wilshire Boulevard, Suite 500, Los Angeles, CA 90017, United States</w:t>
      </w:r>
    </w:p>
    <w:p>
      <w:pPr>
        <w:pStyle w:val="BodyText"/>
      </w:pPr>
      <w:r>
        <w:t xml:space="preserve">Thank you for your business. We look forward to continuing our collaboration on this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Los Angeles, CA</dc:title>
  <dc:creator/>
  <dc:language>en</dc:language>
  <cp:keywords/>
  <dcterms:created xsi:type="dcterms:W3CDTF">2026-10-10T02:44:11Z</dcterms:created>
  <dcterms:modified xsi:type="dcterms:W3CDTF">2026-10-10T02:44:11Z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