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Miami,</w:t>
      </w:r>
      <w:r>
        <w:t xml:space="preserve"> </w:t>
      </w:r>
      <w:r>
        <w:t xml:space="preserve">FL</w:t>
      </w:r>
    </w:p>
    <w:bookmarkStart w:id="20" w:name="apex-architectural-group"/>
    <w:p>
      <w:pPr>
        <w:pStyle w:val="Heading1"/>
      </w:pPr>
      <w:r>
        <w:t xml:space="preserve">Apex Architectural Group</w:t>
      </w:r>
    </w:p>
    <w:p>
      <w:pPr>
        <w:pStyle w:val="FirstParagraph"/>
      </w:pPr>
      <w:r>
        <w:t xml:space="preserve">1000 Brickell Avenue, Suite 2400</w:t>
      </w:r>
    </w:p>
    <w:p>
      <w:pPr>
        <w:pStyle w:val="BodyText"/>
      </w:pPr>
      <w:r>
        <w:t xml:space="preserve">Miami, FL 33131, United States</w:t>
      </w:r>
    </w:p>
    <w:p>
      <w:pPr>
        <w:pStyle w:val="BodyText"/>
      </w:pPr>
      <w:r>
        <w:t xml:space="preserve">Phone: (305) 555-0199 | Email: billing@apexarchmiami.com</w:t>
      </w:r>
    </w:p>
    <w:p>
      <w:pPr>
        <w:pStyle w:val="BodyText"/>
      </w:pPr>
      <w:r>
        <w:t xml:space="preserve">FL DBPR License #AR0012345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INV-2023-10-884</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Mr. Alejandro Rivera</w:t>
      </w:r>
    </w:p>
    <w:p>
      <w:pPr>
        <w:pStyle w:val="BodyText"/>
      </w:pPr>
      <w:r>
        <w:t xml:space="preserve">Rivera Coastal Holdings LLC</w:t>
      </w:r>
    </w:p>
    <w:p>
      <w:pPr>
        <w:pStyle w:val="BodyText"/>
      </w:pPr>
      <w:r>
        <w:t xml:space="preserve">450 Alton Road, Unit 12B</w:t>
      </w:r>
    </w:p>
    <w:p>
      <w:pPr>
        <w:pStyle w:val="BodyText"/>
      </w:pPr>
      <w:r>
        <w:t xml:space="preserve">Miami Beach, FL 33139, United States</w:t>
      </w:r>
    </w:p>
    <w:bookmarkEnd w:id="22"/>
    <w:p>
      <w:pPr>
        <w:pStyle w:val="BodyText"/>
      </w:pPr>
      <w:r>
        <w:rPr>
          <w:bCs/>
          <w:b/>
        </w:rPr>
        <w:t xml:space="preserve">Project Reference:</w:t>
      </w:r>
      <w:r>
        <w:t xml:space="preserve"> </w:t>
      </w:r>
      <w:r>
        <w:t xml:space="preserve">Modernist Villa Renovation &amp; Expansion</w:t>
      </w:r>
      <w:r>
        <w:br/>
      </w:r>
      <w:r>
        <w:rPr>
          <w:bCs/>
          <w:b/>
        </w:rPr>
        <w:t xml:space="preserve">Project Address:</w:t>
      </w:r>
      <w:r>
        <w:t xml:space="preserve"> </w:t>
      </w:r>
      <w:r>
        <w:t xml:space="preserve">789 Star Island Drive, Miami Beach, FL</w:t>
      </w:r>
      <w:r>
        <w:br/>
      </w:r>
      <w:r>
        <w:rPr>
          <w:bCs/>
          <w:b/>
        </w:rPr>
        <w:t xml:space="preserve">Phase:</w:t>
      </w:r>
      <w:r>
        <w:t xml:space="preserve"> </w:t>
      </w:r>
      <w:r>
        <w:t xml:space="preserve">Phase III - Construction Documents &amp; Permitting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Architectural Services</w:t>
            </w:r>
          </w:p>
        </w:tc>
        <w:tc>
          <w:tcPr/>
          <w:p>
            <w:pPr>
              <w:pStyle w:val="Compact"/>
              <w:jc w:val="left"/>
            </w:pPr>
            <w:r>
              <w:t xml:space="preserve">Hours / Qty</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1</w:t>
            </w:r>
          </w:p>
        </w:tc>
        <w:tc>
          <w:tcPr/>
          <w:p>
            <w:pPr>
              <w:pStyle w:val="Compact"/>
              <w:jc w:val="left"/>
            </w:pPr>
            <w:r>
              <w:rPr>
                <w:bCs/>
                <w:b/>
              </w:rPr>
              <w:t xml:space="preserve">Site Analysis &amp; Zoning Compliance Review:</w:t>
            </w:r>
            <w:r>
              <w:t xml:space="preserve"> </w:t>
            </w:r>
            <w:r>
              <w:t xml:space="preserve">Comprehensive evaluation of the Miami Beach zoning regulations regarding the proposed expansion. This includes a detailed review of setback requirements, height restrictions, and the specific architectural guidelines mandated by the local Historic Preservation Board to ensure the design aligns with the aesthetic character of the neighborhood.</w:t>
            </w:r>
          </w:p>
        </w:tc>
        <w:tc>
          <w:tcPr/>
          <w:p>
            <w:pPr>
              <w:pStyle w:val="Compact"/>
              <w:jc w:val="left"/>
            </w:pPr>
            <w:r>
              <w:t xml:space="preserve">12.0</w:t>
            </w:r>
          </w:p>
        </w:tc>
        <w:tc>
          <w:tcPr/>
          <w:p>
            <w:pPr>
              <w:pStyle w:val="Compact"/>
              <w:jc w:val="left"/>
            </w:pPr>
            <w:r>
              <w:t xml:space="preserve">$225.00</w:t>
            </w:r>
          </w:p>
        </w:tc>
        <w:tc>
          <w:tcPr/>
          <w:p>
            <w:pPr>
              <w:pStyle w:val="Compact"/>
              <w:jc w:val="left"/>
            </w:pPr>
            <w:r>
              <w:t xml:space="preserve">$2,700.00</w:t>
            </w:r>
          </w:p>
        </w:tc>
      </w:tr>
      <w:tr>
        <w:tc>
          <w:tcPr/>
          <w:p>
            <w:pPr>
              <w:pStyle w:val="Compact"/>
              <w:jc w:val="left"/>
            </w:pPr>
            <w:r>
              <w:t xml:space="preserve">2</w:t>
            </w:r>
          </w:p>
        </w:tc>
        <w:tc>
          <w:tcPr/>
          <w:p>
            <w:pPr>
              <w:pStyle w:val="Compact"/>
              <w:jc w:val="left"/>
            </w:pPr>
            <w:r>
              <w:rPr>
                <w:bCs/>
                <w:b/>
              </w:rPr>
              <w:t xml:space="preserve">3D Architectural Visualization:</w:t>
            </w:r>
            <w:r>
              <w:t xml:space="preserve"> </w:t>
            </w:r>
            <w:r>
              <w:t xml:space="preserve">Creation of high-fidelity photorealistic renderings for the exterior façade and interior living spaces. These visualizations are designed to assist the client in material selection and to serve as a primary tool for presentation to the Miami-Dade County Building Department during the preliminary review process.</w:t>
            </w:r>
          </w:p>
        </w:tc>
        <w:tc>
          <w:tcPr/>
          <w:p>
            <w:pPr>
              <w:pStyle w:val="Compact"/>
              <w:jc w:val="left"/>
            </w:pPr>
            <w:r>
              <w:t xml:space="preserve">1.0</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rPr>
                <w:bCs/>
                <w:b/>
              </w:rPr>
              <w:t xml:space="preserve">Construction Document Preparation:</w:t>
            </w:r>
            <w:r>
              <w:t xml:space="preserve"> </w:t>
            </w:r>
            <w:r>
              <w:t xml:space="preserve">Drafting of detailed floor plans, elevations, sections, and wall details. This phase involves coordinating with structural and MEP (Mechanical, Electrical, Plumbing) engineers to ensure all systems are integrated efficiently within the architectural design, adhering to the Florida Building Code (FBC) 7th Edition.</w:t>
            </w:r>
          </w:p>
        </w:tc>
        <w:tc>
          <w:tcPr/>
          <w:p>
            <w:pPr>
              <w:pStyle w:val="Compact"/>
              <w:jc w:val="left"/>
            </w:pPr>
            <w:r>
              <w:t xml:space="preserve">45.5</w:t>
            </w:r>
          </w:p>
        </w:tc>
        <w:tc>
          <w:tcPr/>
          <w:p>
            <w:pPr>
              <w:pStyle w:val="Compact"/>
              <w:jc w:val="left"/>
            </w:pPr>
            <w:r>
              <w:t xml:space="preserve">$225.00</w:t>
            </w:r>
          </w:p>
        </w:tc>
        <w:tc>
          <w:tcPr/>
          <w:p>
            <w:pPr>
              <w:pStyle w:val="Compact"/>
              <w:jc w:val="left"/>
            </w:pPr>
            <w:r>
              <w:t xml:space="preserve">$10,237.50</w:t>
            </w:r>
          </w:p>
        </w:tc>
      </w:tr>
      <w:tr>
        <w:tc>
          <w:tcPr/>
          <w:p>
            <w:pPr>
              <w:pStyle w:val="Compact"/>
              <w:jc w:val="left"/>
            </w:pPr>
            <w:r>
              <w:t xml:space="preserve">4</w:t>
            </w:r>
          </w:p>
        </w:tc>
        <w:tc>
          <w:tcPr/>
          <w:p>
            <w:pPr>
              <w:pStyle w:val="Compact"/>
              <w:jc w:val="left"/>
            </w:pPr>
            <w:r>
              <w:rPr>
                <w:bCs/>
                <w:b/>
              </w:rPr>
              <w:t xml:space="preserve">Permitting Assistance &amp; Plan Review Response:</w:t>
            </w:r>
            <w:r>
              <w:t xml:space="preserve"> </w:t>
            </w:r>
            <w:r>
              <w:t xml:space="preserve">Submission of the architectural package to the Miami-Dade County Department of Regulatory and Economic Resources. This item covers the architect's time spent responding to reviewer comments, revising drawings to address code compliance issues, and resubmitting documents until final approval is granted.</w:t>
            </w:r>
          </w:p>
        </w:tc>
        <w:tc>
          <w:tcPr/>
          <w:p>
            <w:pPr>
              <w:pStyle w:val="Compact"/>
              <w:jc w:val="left"/>
            </w:pPr>
            <w:r>
              <w:t xml:space="preserve">8.0</w:t>
            </w:r>
          </w:p>
        </w:tc>
        <w:tc>
          <w:tcPr/>
          <w:p>
            <w:pPr>
              <w:pStyle w:val="Compact"/>
              <w:jc w:val="left"/>
            </w:pPr>
            <w:r>
              <w:t xml:space="preserve">$225.00</w:t>
            </w:r>
          </w:p>
        </w:tc>
        <w:tc>
          <w:tcPr/>
          <w:p>
            <w:pPr>
              <w:pStyle w:val="Compact"/>
              <w:jc w:val="left"/>
            </w:pPr>
            <w:r>
              <w:t xml:space="preserve">$1,800.00</w:t>
            </w:r>
          </w:p>
        </w:tc>
      </w:tr>
      <w:tr>
        <w:tc>
          <w:tcPr/>
          <w:p>
            <w:pPr>
              <w:pStyle w:val="Compact"/>
              <w:jc w:val="left"/>
            </w:pPr>
            <w:r>
              <w:t xml:space="preserve">5</w:t>
            </w:r>
          </w:p>
        </w:tc>
        <w:tc>
          <w:tcPr/>
          <w:p>
            <w:pPr>
              <w:pStyle w:val="Compact"/>
              <w:jc w:val="left"/>
            </w:pPr>
            <w:r>
              <w:rPr>
                <w:bCs/>
                <w:b/>
              </w:rPr>
              <w:t xml:space="preserve">Interior Design Consultation:</w:t>
            </w:r>
            <w:r>
              <w:t xml:space="preserve"> </w:t>
            </w:r>
            <w:r>
              <w:t xml:space="preserve">Selection of finishes, fixtures, and equipment (FF&amp;E) for the primary residence. This includes sourcing materials that are resistant to the high-humidity and salt-air environment typical of the Miami coastal region, ensuring longevity and durability of the interior design elements.</w:t>
            </w:r>
          </w:p>
        </w:tc>
        <w:tc>
          <w:tcPr/>
          <w:p>
            <w:pPr>
              <w:pStyle w:val="Compact"/>
              <w:jc w:val="left"/>
            </w:pPr>
            <w:r>
              <w:t xml:space="preserve">10.0</w:t>
            </w:r>
          </w:p>
        </w:tc>
        <w:tc>
          <w:tcPr/>
          <w:p>
            <w:pPr>
              <w:pStyle w:val="Compact"/>
              <w:jc w:val="left"/>
            </w:pPr>
            <w:r>
              <w:t xml:space="preserve">$200.00</w:t>
            </w:r>
          </w:p>
        </w:tc>
        <w:tc>
          <w:tcPr/>
          <w:p>
            <w:pPr>
              <w:pStyle w:val="Compact"/>
              <w:jc w:val="left"/>
            </w:pPr>
            <w:r>
              <w:t xml:space="preserve">$2,000.00</w:t>
            </w:r>
          </w:p>
        </w:tc>
      </w:tr>
      <w:tr>
        <w:tc>
          <w:tcPr/>
          <w:p>
            <w:pPr>
              <w:pStyle w:val="Compact"/>
              <w:jc w:val="left"/>
            </w:pPr>
            <w:r>
              <w:t xml:space="preserve">6</w:t>
            </w:r>
          </w:p>
        </w:tc>
        <w:tc>
          <w:tcPr/>
          <w:p>
            <w:pPr>
              <w:pStyle w:val="Compact"/>
              <w:jc w:val="left"/>
            </w:pPr>
            <w:r>
              <w:rPr>
                <w:bCs/>
                <w:b/>
              </w:rPr>
              <w:t xml:space="preserve">Project Management &amp; Coordination:</w:t>
            </w:r>
            <w:r>
              <w:t xml:space="preserve"> </w:t>
            </w:r>
            <w:r>
              <w:t xml:space="preserve">General oversight of the design phase, including scheduling meetings with the client, contractors, and consultants. This ensures that the project timeline remains on track and that the architectural vision is communicated clearly to all stakeholders involved in the construction process.</w:t>
            </w:r>
          </w:p>
        </w:tc>
        <w:tc>
          <w:tcPr/>
          <w:p>
            <w:pPr>
              <w:pStyle w:val="Compact"/>
              <w:jc w:val="left"/>
            </w:pPr>
            <w:r>
              <w:t xml:space="preserve">15.0</w:t>
            </w:r>
          </w:p>
        </w:tc>
        <w:tc>
          <w:tcPr/>
          <w:p>
            <w:pPr>
              <w:pStyle w:val="Compact"/>
              <w:jc w:val="left"/>
            </w:pPr>
            <w:r>
              <w:t xml:space="preserve">$250.00</w:t>
            </w:r>
          </w:p>
        </w:tc>
        <w:tc>
          <w:tcPr/>
          <w:p>
            <w:pPr>
              <w:pStyle w:val="Compact"/>
              <w:jc w:val="left"/>
            </w:pPr>
            <w:r>
              <w:t xml:space="preserve">$3,750.00</w:t>
            </w:r>
          </w:p>
        </w:tc>
      </w:tr>
    </w:tbl>
    <w:p>
      <w:pPr>
        <w:pStyle w:val="BodyText"/>
      </w:pPr>
      <w:r>
        <w:t xml:space="preserve">Subtotal:</w:t>
      </w:r>
      <w:r>
        <w:t xml:space="preserve"> </w:t>
      </w:r>
      <w:r>
        <w:t xml:space="preserve">$25,000.00</w:t>
      </w:r>
    </w:p>
    <w:p>
      <w:pPr>
        <w:pStyle w:val="BodyText"/>
      </w:pPr>
      <w:r>
        <w:t xml:space="preserve">Tax (0% - Professional Services Exempt):</w:t>
      </w:r>
      <w:r>
        <w:t xml:space="preserve"> </w:t>
      </w:r>
      <w:r>
        <w:t xml:space="preserve">$0.00</w:t>
      </w:r>
    </w:p>
    <w:p>
      <w:pPr>
        <w:pStyle w:val="BodyText"/>
      </w:pPr>
      <w:r>
        <w:t xml:space="preserve">Less: Previous Deposit Paid:</w:t>
      </w:r>
      <w:r>
        <w:t xml:space="preserve"> </w:t>
      </w:r>
      <w:r>
        <w:t xml:space="preserve">($5,000.00)</w:t>
      </w:r>
    </w:p>
    <w:p>
      <w:pPr>
        <w:pStyle w:val="BodyText"/>
      </w:pPr>
      <w:r>
        <w:t xml:space="preserve">TOTAL DUE:</w:t>
      </w:r>
      <w:r>
        <w:t xml:space="preserve"> </w:t>
      </w:r>
      <w:r>
        <w:t xml:space="preserve">$20,000.00</w:t>
      </w:r>
    </w:p>
    <w:bookmarkStart w:id="23" w:name="payment-instructions"/>
    <w:p>
      <w:pPr>
        <w:pStyle w:val="Heading4"/>
      </w:pPr>
      <w:r>
        <w:t xml:space="preserve">Payment Instructions:</w:t>
      </w:r>
    </w:p>
    <w:p>
      <w:pPr>
        <w:pStyle w:val="FirstParagraph"/>
      </w:pPr>
      <w:r>
        <w:t xml:space="preserve">Please make checks payable to</w:t>
      </w:r>
      <w:r>
        <w:t xml:space="preserve"> </w:t>
      </w:r>
      <w:r>
        <w:rPr>
          <w:bCs/>
          <w:b/>
        </w:rPr>
        <w:t xml:space="preserve">Apex Architectural Group</w:t>
      </w:r>
      <w:r>
        <w:t xml:space="preserve"> </w:t>
      </w:r>
      <w:r>
        <w:t xml:space="preserve">and mail to the address listed in the header. For electronic transfers, please use the following details:</w:t>
      </w:r>
    </w:p>
    <w:p>
      <w:pPr>
        <w:pStyle w:val="BodyText"/>
      </w:pPr>
      <w:r>
        <w:rPr>
          <w:bCs/>
          <w:b/>
        </w:rPr>
        <w:t xml:space="preserve">Bank Name:</w:t>
      </w:r>
      <w:r>
        <w:t xml:space="preserve"> </w:t>
      </w:r>
      <w:r>
        <w:t xml:space="preserve">Bank of America</w:t>
      </w:r>
      <w:r>
        <w:br/>
      </w:r>
      <w:r>
        <w:rPr>
          <w:bCs/>
          <w:b/>
        </w:rPr>
        <w:t xml:space="preserve">Account Name:</w:t>
      </w:r>
      <w:r>
        <w:t xml:space="preserve"> </w:t>
      </w:r>
      <w:r>
        <w:t xml:space="preserve">Apex Architectural Group LLC</w:t>
      </w:r>
      <w:r>
        <w:br/>
      </w:r>
      <w:r>
        <w:rPr>
          <w:bCs/>
          <w:b/>
        </w:rPr>
        <w:t xml:space="preserve">Routing Number:</w:t>
      </w:r>
      <w:r>
        <w:t xml:space="preserve"> </w:t>
      </w:r>
      <w:r>
        <w:t xml:space="preserve">026009593</w:t>
      </w:r>
      <w:r>
        <w:br/>
      </w:r>
      <w:r>
        <w:rPr>
          <w:bCs/>
          <w:b/>
        </w:rPr>
        <w:t xml:space="preserve">Account Number:</w:t>
      </w:r>
      <w:r>
        <w:t xml:space="preserve"> </w:t>
      </w:r>
      <w:r>
        <w:t xml:space="preserve">1234567890</w:t>
      </w:r>
      <w:r>
        <w:br/>
      </w:r>
      <w:r>
        <w:rPr>
          <w:bCs/>
          <w:b/>
        </w:rPr>
        <w:t xml:space="preserve">Reference:</w:t>
      </w:r>
      <w:r>
        <w:t xml:space="preserve"> </w:t>
      </w:r>
      <w:r>
        <w:t xml:space="preserve">Invoice INV-2023-10-884</w:t>
      </w:r>
    </w:p>
    <w:bookmarkEnd w:id="23"/>
    <w:bookmarkStart w:id="24" w:name="terms-and-conditions"/>
    <w:p>
      <w:pPr>
        <w:pStyle w:val="Heading4"/>
      </w:pPr>
      <w:r>
        <w:t xml:space="preserve">Terms and Conditions:</w:t>
      </w:r>
    </w:p>
    <w:p>
      <w:pPr>
        <w:pStyle w:val="FirstParagraph"/>
      </w:pPr>
      <w:r>
        <w:t xml:space="preserve">1.</w:t>
      </w:r>
      <w:r>
        <w:t xml:space="preserve"> </w:t>
      </w:r>
      <w:r>
        <w:rPr>
          <w:bCs/>
          <w:b/>
        </w:rPr>
        <w:t xml:space="preserve">Late Payments:</w:t>
      </w:r>
      <w:r>
        <w:t xml:space="preserve"> </w:t>
      </w:r>
      <w:r>
        <w:t xml:space="preserve">Any invoices not paid by the due date will be subject to a late fee of 1.5% per month on the outstanding balance, in accordance with Florida Statute 57.105.</w:t>
      </w:r>
      <w:r>
        <w:br/>
      </w:r>
      <w:r>
        <w:t xml:space="preserve">2.</w:t>
      </w:r>
      <w:r>
        <w:t xml:space="preserve"> </w:t>
      </w:r>
      <w:r>
        <w:rPr>
          <w:bCs/>
          <w:b/>
        </w:rPr>
        <w:t xml:space="preserve">Scope of Work:</w:t>
      </w:r>
      <w:r>
        <w:t xml:space="preserve"> </w:t>
      </w:r>
      <w:r>
        <w:t xml:space="preserve">This invoice covers the services described above. Any additional services requested by the client outside of the original scope will be billed separately at the prevailing hourly rates.</w:t>
      </w:r>
      <w:r>
        <w:br/>
      </w:r>
      <w:r>
        <w:t xml:space="preserve">3.</w:t>
      </w:r>
      <w:r>
        <w:t xml:space="preserve"> </w:t>
      </w:r>
      <w:r>
        <w:rPr>
          <w:bCs/>
          <w:b/>
        </w:rPr>
        <w:t xml:space="preserve">Copyright:</w:t>
      </w:r>
      <w:r>
        <w:t xml:space="preserve"> </w:t>
      </w:r>
      <w:r>
        <w:t xml:space="preserve">All architectural drawings, designs, and documents remain the intellectual property of Apex Architectural Group until full payment has been received.</w:t>
      </w:r>
      <w:r>
        <w:br/>
      </w:r>
      <w:r>
        <w:t xml:space="preserve">4.</w:t>
      </w:r>
      <w:r>
        <w:t xml:space="preserve"> </w:t>
      </w:r>
      <w:r>
        <w:rPr>
          <w:bCs/>
          <w:b/>
        </w:rPr>
        <w:t xml:space="preserve">Disputes:</w:t>
      </w:r>
      <w:r>
        <w:t xml:space="preserve"> </w:t>
      </w:r>
      <w:r>
        <w:t xml:space="preserve">Any disputes regarding this invoice must be raised in writing within 14 days of the invoice date. Failure to do so will be considered acceptance of the charges.</w:t>
      </w:r>
      <w:r>
        <w:br/>
      </w:r>
      <w:r>
        <w:t xml:space="preserve">5.</w:t>
      </w:r>
      <w:r>
        <w:t xml:space="preserve"> </w:t>
      </w:r>
      <w:r>
        <w:rPr>
          <w:bCs/>
          <w:b/>
        </w:rPr>
        <w:t xml:space="preserve">Governing Law:</w:t>
      </w:r>
      <w:r>
        <w:t xml:space="preserve"> </w:t>
      </w:r>
      <w:r>
        <w:t xml:space="preserve">This agreement and invoice are governed by the laws of the State of Florida.</w:t>
      </w:r>
    </w:p>
    <w:bookmarkEnd w:id="24"/>
    <w:p>
      <w:pPr>
        <w:pStyle w:val="BodyText"/>
      </w:pPr>
      <w:r>
        <w:rPr>
          <w:bCs/>
          <w:b/>
        </w:rPr>
        <w:t xml:space="preserve">Authorized Signature (Architect)</w:t>
      </w:r>
      <w:r>
        <w:br/>
      </w:r>
      <w:r>
        <w:rPr>
          <w:iCs/>
          <w:i/>
        </w:rPr>
        <w:t xml:space="preserve">J. Michael Torres, AIA</w:t>
      </w:r>
      <w:r>
        <w:br/>
      </w:r>
      <w:r>
        <w:t xml:space="preserve">Principal Architect</w:t>
      </w:r>
    </w:p>
    <w:p>
      <w:pPr>
        <w:pStyle w:val="BodyText"/>
      </w:pPr>
      <w:r>
        <w:rPr>
          <w:bCs/>
          <w:b/>
        </w:rPr>
        <w:t xml:space="preserve">Client Acceptance</w:t>
      </w:r>
      <w:r>
        <w:br/>
      </w:r>
      <w:r>
        <w:rPr>
          <w:iCs/>
          <w:i/>
        </w:rPr>
        <w:t xml:space="preserve">Alejandro Rivera</w:t>
      </w:r>
      <w:r>
        <w:br/>
      </w:r>
      <w:r>
        <w:t xml:space="preserve">Rivera Coastal Holdings LLC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Architectural Services Invoice - Miami, FL</dc:title>
  <dc:creator/>
  <dc:language>en</dc:language>
  <cp:keywords/>
  <dcterms:created xsi:type="dcterms:W3CDTF">2026-10-10T06:49:05Z</dcterms:created>
  <dcterms:modified xsi:type="dcterms:W3CDTF">2026-10-10T06:49:05Z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