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Architectural</w:t>
      </w:r>
      <w:r>
        <w:t xml:space="preserve"> </w:t>
      </w:r>
      <w:r>
        <w:t xml:space="preserve">Services</w:t>
      </w:r>
      <w:r>
        <w:t xml:space="preserve"> </w:t>
      </w:r>
      <w:r>
        <w:t xml:space="preserve">Invoice</w:t>
      </w:r>
      <w:r>
        <w:t xml:space="preserve"> </w:t>
      </w:r>
      <w:r>
        <w:t xml:space="preserve">-</w:t>
      </w:r>
      <w:r>
        <w:t xml:space="preserve"> </w:t>
      </w:r>
      <w:r>
        <w:t xml:space="preserve">New</w:t>
      </w:r>
      <w:r>
        <w:t xml:space="preserve"> </w:t>
      </w:r>
      <w:r>
        <w:t xml:space="preserve">York</w:t>
      </w:r>
      <w:r>
        <w:t xml:space="preserve"> </w:t>
      </w:r>
      <w:r>
        <w:t xml:space="preserve">City</w:t>
      </w:r>
    </w:p>
    <w:bookmarkStart w:id="20" w:name="metropolitan-design-architects"/>
    <w:p>
      <w:pPr>
        <w:pStyle w:val="Heading1"/>
      </w:pPr>
      <w:r>
        <w:t xml:space="preserve">Metropolitan Design Architects</w:t>
      </w:r>
    </w:p>
    <w:p>
      <w:pPr>
        <w:pStyle w:val="FirstParagraph"/>
      </w:pPr>
      <w:r>
        <w:t xml:space="preserve">123 West 57th Street, Suite 400</w:t>
      </w:r>
    </w:p>
    <w:p>
      <w:pPr>
        <w:pStyle w:val="BodyText"/>
      </w:pPr>
      <w:r>
        <w:t xml:space="preserve">New York, NY 10019</w:t>
      </w:r>
    </w:p>
    <w:p>
      <w:pPr>
        <w:pStyle w:val="BodyText"/>
      </w:pPr>
      <w:r>
        <w:t xml:space="preserve">United States</w:t>
      </w:r>
    </w:p>
    <w:p>
      <w:pPr>
        <w:pStyle w:val="BodyText"/>
      </w:pPr>
      <w:r>
        <w:t xml:space="preserve">Tel: (212) 555-0199 | Email: billing@metropolisarch.com</w:t>
      </w:r>
    </w:p>
    <w:p>
      <w:pPr>
        <w:pStyle w:val="BodyText"/>
      </w:pPr>
      <w:r>
        <w:t xml:space="preserve">NYS License No. 00012345-00</w:t>
      </w:r>
    </w:p>
    <w:bookmarkEnd w:id="20"/>
    <w:bookmarkStart w:id="21" w:name="invoice"/>
    <w:p>
      <w:pPr>
        <w:pStyle w:val="Heading2"/>
      </w:pPr>
      <w:r>
        <w:t xml:space="preserve">INVOICE</w:t>
      </w:r>
    </w:p>
    <w:p>
      <w:pPr>
        <w:pStyle w:val="FirstParagraph"/>
      </w:pPr>
      <w:r>
        <w:rPr>
          <w:bCs/>
          <w:b/>
        </w:rPr>
        <w:t xml:space="preserve">Invoice #:</w:t>
      </w:r>
      <w:r>
        <w:t xml:space="preserve"> </w:t>
      </w:r>
      <w:r>
        <w:t xml:space="preserve">INV-2023-10-042</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23, 2023</w:t>
      </w:r>
    </w:p>
    <w:bookmarkEnd w:id="21"/>
    <w:bookmarkStart w:id="22" w:name="bill-to"/>
    <w:p>
      <w:pPr>
        <w:pStyle w:val="Heading3"/>
      </w:pPr>
      <w:r>
        <w:t xml:space="preserve">Bill To</w:t>
      </w:r>
    </w:p>
    <w:p>
      <w:pPr>
        <w:pStyle w:val="FirstParagraph"/>
      </w:pPr>
      <w:r>
        <w:rPr>
          <w:bCs/>
          <w:b/>
        </w:rPr>
        <w:t xml:space="preserve">Apex Residential Holdings LLC</w:t>
      </w:r>
    </w:p>
    <w:p>
      <w:pPr>
        <w:pStyle w:val="BodyText"/>
      </w:pPr>
      <w:r>
        <w:t xml:space="preserve">Attn: Mr. Jonathan Sterling</w:t>
      </w:r>
    </w:p>
    <w:p>
      <w:pPr>
        <w:pStyle w:val="BodyText"/>
      </w:pPr>
      <w:r>
        <w:t xml:space="preserve">450 Park Avenue South</w:t>
      </w:r>
    </w:p>
    <w:p>
      <w:pPr>
        <w:pStyle w:val="BodyText"/>
      </w:pPr>
      <w:r>
        <w:t xml:space="preserve">New York, NY 10016</w:t>
      </w:r>
    </w:p>
    <w:p>
      <w:pPr>
        <w:pStyle w:val="BodyText"/>
      </w:pPr>
      <w:r>
        <w:t xml:space="preserve">United States</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The Hudson Loft Renovation</w:t>
      </w:r>
    </w:p>
    <w:p>
      <w:pPr>
        <w:pStyle w:val="BodyText"/>
      </w:pPr>
      <w:r>
        <w:rPr>
          <w:bCs/>
          <w:b/>
        </w:rPr>
        <w:t xml:space="preserve">Site Address:</w:t>
      </w:r>
      <w:r>
        <w:t xml:space="preserve"> </w:t>
      </w:r>
      <w:r>
        <w:t xml:space="preserve">88 Hudson Street, Tribeca</w:t>
      </w:r>
    </w:p>
    <w:p>
      <w:pPr>
        <w:pStyle w:val="BodyText"/>
      </w:pPr>
      <w:r>
        <w:rPr>
          <w:bCs/>
          <w:b/>
        </w:rPr>
        <w:t xml:space="preserve">City:</w:t>
      </w:r>
      <w:r>
        <w:t xml:space="preserve"> </w:t>
      </w:r>
      <w:r>
        <w:t xml:space="preserve">New York City, NY</w:t>
      </w:r>
    </w:p>
    <w:p>
      <w:pPr>
        <w:pStyle w:val="BodyText"/>
      </w:pPr>
      <w:r>
        <w:rPr>
          <w:bCs/>
          <w:b/>
        </w:rPr>
        <w:t xml:space="preserve">Phase:</w:t>
      </w:r>
      <w:r>
        <w:t xml:space="preserve"> </w:t>
      </w:r>
      <w:r>
        <w:t xml:space="preserve">Phase II: Design Development &amp; Permitting</w:t>
      </w:r>
    </w:p>
    <w:bookmarkEnd w:id="23"/>
    <w:tbl>
      <w:tblPr>
        <w:tblStyle w:val="Table"/>
        <w:tblW w:type="pct" w:w="500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Description of Architectural Services</w:t>
            </w:r>
          </w:p>
        </w:tc>
        <w:tc>
          <w:tcPr/>
          <w:p>
            <w:pPr>
              <w:pStyle w:val="Compact"/>
              <w:jc w:val="left"/>
            </w:pPr>
            <w:r>
              <w:t xml:space="preserve">Hours / Units</w:t>
            </w:r>
          </w:p>
        </w:tc>
        <w:tc>
          <w:tcPr/>
          <w:p>
            <w:pPr>
              <w:pStyle w:val="Compact"/>
              <w:jc w:val="left"/>
            </w:pPr>
            <w:r>
              <w:t xml:space="preserve">Rate</w:t>
            </w:r>
          </w:p>
        </w:tc>
        <w:tc>
          <w:tcPr/>
          <w:p>
            <w:pPr>
              <w:pStyle w:val="Compact"/>
              <w:jc w:val="left"/>
            </w:pPr>
            <w:r>
              <w:t xml:space="preserve">Amount</w:t>
            </w:r>
          </w:p>
        </w:tc>
      </w:tr>
      <w:tr>
        <w:tc>
          <w:tcPr/>
          <w:p>
            <w:pPr>
              <w:pStyle w:val="Compact"/>
              <w:jc w:val="left"/>
            </w:pPr>
            <w:r>
              <w:rPr>
                <w:bCs/>
                <w:b/>
              </w:rPr>
              <w:t xml:space="preserve">Design Development Services:</w:t>
            </w:r>
            <w:r>
              <w:br/>
            </w:r>
            <w:r>
              <w:t xml:space="preserve">Preparation of comprehensive architectural drawings for the interior renovation of the Tribeca loft. This includes detailed floor plans, reflected ceiling plans, and interior elevations compliant with New York City Building Code. Coordination with structural engineers regarding load-bearing wall modifications.</w:t>
            </w:r>
          </w:p>
        </w:tc>
        <w:tc>
          <w:tcPr/>
          <w:p>
            <w:pPr>
              <w:pStyle w:val="Compact"/>
              <w:jc w:val="left"/>
            </w:pPr>
            <w:r>
              <w:t xml:space="preserve">45.0</w:t>
            </w:r>
          </w:p>
        </w:tc>
        <w:tc>
          <w:tcPr/>
          <w:p>
            <w:pPr>
              <w:pStyle w:val="Compact"/>
              <w:jc w:val="left"/>
            </w:pPr>
            <w:r>
              <w:t xml:space="preserve">$275.00</w:t>
            </w:r>
          </w:p>
        </w:tc>
        <w:tc>
          <w:tcPr/>
          <w:p>
            <w:pPr>
              <w:pStyle w:val="Compact"/>
              <w:jc w:val="left"/>
            </w:pPr>
            <w:r>
              <w:t xml:space="preserve">$12,375.00</w:t>
            </w:r>
          </w:p>
        </w:tc>
      </w:tr>
      <w:tr>
        <w:tc>
          <w:tcPr/>
          <w:p>
            <w:pPr>
              <w:pStyle w:val="Compact"/>
              <w:jc w:val="left"/>
            </w:pPr>
            <w:r>
              <w:rPr>
                <w:bCs/>
                <w:b/>
              </w:rPr>
              <w:t xml:space="preserve">NYC Department of Buildings (DOB) Submission:</w:t>
            </w:r>
            <w:r>
              <w:br/>
            </w:r>
            <w:r>
              <w:t xml:space="preserve">Preparation and filing of the Alteration Type 1 application. Coordination with the Local Law 11 facade inspection requirements. Management of the plan review process with the NYC DOB to ensure timely approval for the Certificate of Occupancy amendment.</w:t>
            </w:r>
          </w:p>
        </w:tc>
        <w:tc>
          <w:tcPr/>
          <w:p>
            <w:pPr>
              <w:pStyle w:val="Compact"/>
              <w:jc w:val="left"/>
            </w:pPr>
            <w:r>
              <w:t xml:space="preserve">18.5</w:t>
            </w:r>
          </w:p>
        </w:tc>
        <w:tc>
          <w:tcPr/>
          <w:p>
            <w:pPr>
              <w:pStyle w:val="Compact"/>
              <w:jc w:val="left"/>
            </w:pPr>
            <w:r>
              <w:t xml:space="preserve">$275.00</w:t>
            </w:r>
          </w:p>
        </w:tc>
        <w:tc>
          <w:tcPr/>
          <w:p>
            <w:pPr>
              <w:pStyle w:val="Compact"/>
              <w:jc w:val="left"/>
            </w:pPr>
            <w:r>
              <w:t xml:space="preserve">$5,087.50</w:t>
            </w:r>
          </w:p>
        </w:tc>
      </w:tr>
      <w:tr>
        <w:tc>
          <w:tcPr/>
          <w:p>
            <w:pPr>
              <w:pStyle w:val="Compact"/>
              <w:jc w:val="left"/>
            </w:pPr>
            <w:r>
              <w:rPr>
                <w:bCs/>
                <w:b/>
              </w:rPr>
              <w:t xml:space="preserve">Specialty Consultant Coordination:</w:t>
            </w:r>
            <w:r>
              <w:br/>
            </w:r>
            <w:r>
              <w:t xml:space="preserve">Facilitating meetings and technical coordination between the Architect, the MEP (Mechanical, Electrical, Plumbing) engineer, and the fire protection specialist. Ensuring all systems adhere to NYC Fire Code and energy conservation standards.</w:t>
            </w:r>
          </w:p>
        </w:tc>
        <w:tc>
          <w:tcPr/>
          <w:p>
            <w:pPr>
              <w:pStyle w:val="Compact"/>
              <w:jc w:val="left"/>
            </w:pPr>
            <w:r>
              <w:t xml:space="preserve">12.0</w:t>
            </w:r>
          </w:p>
        </w:tc>
        <w:tc>
          <w:tcPr/>
          <w:p>
            <w:pPr>
              <w:pStyle w:val="Compact"/>
              <w:jc w:val="left"/>
            </w:pPr>
            <w:r>
              <w:t xml:space="preserve">$275.00</w:t>
            </w:r>
          </w:p>
        </w:tc>
        <w:tc>
          <w:tcPr/>
          <w:p>
            <w:pPr>
              <w:pStyle w:val="Compact"/>
              <w:jc w:val="left"/>
            </w:pPr>
            <w:r>
              <w:t xml:space="preserve">$3,300.00</w:t>
            </w:r>
          </w:p>
        </w:tc>
      </w:tr>
      <w:tr>
        <w:tc>
          <w:tcPr/>
          <w:p>
            <w:pPr>
              <w:pStyle w:val="Compact"/>
              <w:jc w:val="left"/>
            </w:pPr>
            <w:r>
              <w:rPr>
                <w:bCs/>
                <w:b/>
              </w:rPr>
              <w:t xml:space="preserve">Material Selection &amp; Specification:</w:t>
            </w:r>
            <w:r>
              <w:br/>
            </w:r>
            <w:r>
              <w:t xml:space="preserve">Curation of high-end finishes and materials suitable for the historic district context. Preparation of the Project Manual and specifications for contractor bidding.</w:t>
            </w:r>
          </w:p>
        </w:tc>
        <w:tc>
          <w:tcPr/>
          <w:p>
            <w:pPr>
              <w:pStyle w:val="Compact"/>
              <w:jc w:val="left"/>
            </w:pPr>
            <w:r>
              <w:t xml:space="preserve">15.0</w:t>
            </w:r>
          </w:p>
        </w:tc>
        <w:tc>
          <w:tcPr/>
          <w:p>
            <w:pPr>
              <w:pStyle w:val="Compact"/>
              <w:jc w:val="left"/>
            </w:pPr>
            <w:r>
              <w:t xml:space="preserve">$275.00</w:t>
            </w:r>
          </w:p>
        </w:tc>
        <w:tc>
          <w:tcPr/>
          <w:p>
            <w:pPr>
              <w:pStyle w:val="Compact"/>
              <w:jc w:val="left"/>
            </w:pPr>
            <w:r>
              <w:t xml:space="preserve">$4,125.00</w:t>
            </w:r>
          </w:p>
        </w:tc>
      </w:tr>
      <w:tr>
        <w:tc>
          <w:tcPr/>
          <w:p>
            <w:pPr>
              <w:pStyle w:val="Compact"/>
              <w:jc w:val="left"/>
            </w:pPr>
            <w:r>
              <w:rPr>
                <w:bCs/>
                <w:b/>
              </w:rPr>
              <w:t xml:space="preserve">Site Visits &amp; Progress Meetings:</w:t>
            </w:r>
            <w:r>
              <w:br/>
            </w:r>
            <w:r>
              <w:t xml:space="preserve">On-site visits to the New York City project location to assess existing conditions and verify measurements. Attendance at weekly progress meetings with the general contractor.</w:t>
            </w:r>
          </w:p>
        </w:tc>
        <w:tc>
          <w:tcPr/>
          <w:p>
            <w:pPr>
              <w:pStyle w:val="Compact"/>
              <w:jc w:val="left"/>
            </w:pPr>
            <w:r>
              <w:t xml:space="preserve">8.0</w:t>
            </w:r>
          </w:p>
        </w:tc>
        <w:tc>
          <w:tcPr/>
          <w:p>
            <w:pPr>
              <w:pStyle w:val="Compact"/>
              <w:jc w:val="left"/>
            </w:pPr>
            <w:r>
              <w:t xml:space="preserve">$275.00</w:t>
            </w:r>
          </w:p>
        </w:tc>
        <w:tc>
          <w:tcPr/>
          <w:p>
            <w:pPr>
              <w:pStyle w:val="Compact"/>
              <w:jc w:val="left"/>
            </w:pPr>
            <w:r>
              <w:t xml:space="preserve">$2,200.00</w:t>
            </w:r>
          </w:p>
        </w:tc>
      </w:tr>
      <w:tr>
        <w:tc>
          <w:tcPr/>
          <w:p>
            <w:pPr>
              <w:pStyle w:val="Compact"/>
              <w:jc w:val="left"/>
            </w:pPr>
            <w:r>
              <w:rPr>
                <w:bCs/>
                <w:b/>
              </w:rPr>
              <w:t xml:space="preserve">Revisions &amp; Change Orders:</w:t>
            </w:r>
            <w:r>
              <w:br/>
            </w:r>
            <w:r>
              <w:t xml:space="preserve">Implementation of client-requested changes to the kitchen layout and bathroom configurations during the Design Development phase.</w:t>
            </w:r>
          </w:p>
        </w:tc>
        <w:tc>
          <w:tcPr/>
          <w:p>
            <w:pPr>
              <w:pStyle w:val="Compact"/>
              <w:jc w:val="left"/>
            </w:pPr>
            <w:r>
              <w:t xml:space="preserve">10.0</w:t>
            </w:r>
          </w:p>
        </w:tc>
        <w:tc>
          <w:tcPr/>
          <w:p>
            <w:pPr>
              <w:pStyle w:val="Compact"/>
              <w:jc w:val="left"/>
            </w:pPr>
            <w:r>
              <w:t xml:space="preserve">$275.00</w:t>
            </w:r>
          </w:p>
        </w:tc>
        <w:tc>
          <w:tcPr/>
          <w:p>
            <w:pPr>
              <w:pStyle w:val="Compact"/>
              <w:jc w:val="left"/>
            </w:pPr>
            <w:r>
              <w:t xml:space="preserve">$2,750.00</w:t>
            </w:r>
          </w:p>
        </w:tc>
      </w:tr>
    </w:tbl>
    <w:p>
      <w:pPr>
        <w:pStyle w:val="BodyText"/>
      </w:pPr>
      <w:r>
        <w:t xml:space="preserve">Subtotal:</w:t>
      </w:r>
      <w:r>
        <w:t xml:space="preserve"> </w:t>
      </w:r>
      <w:r>
        <w:t xml:space="preserve">$29,837.50</w:t>
      </w:r>
    </w:p>
    <w:p>
      <w:pPr>
        <w:pStyle w:val="BodyText"/>
      </w:pPr>
      <w:r>
        <w:t xml:space="preserve">NY State Sales Tax (8.875%):</w:t>
      </w:r>
      <w:r>
        <w:t xml:space="preserve"> </w:t>
      </w:r>
      <w:r>
        <w:t xml:space="preserve">$2,648.08</w:t>
      </w:r>
    </w:p>
    <w:p>
      <w:pPr>
        <w:pStyle w:val="BodyText"/>
      </w:pPr>
      <w:r>
        <w:t xml:space="preserve">TOTAL DUE:</w:t>
      </w:r>
      <w:r>
        <w:t xml:space="preserve"> </w:t>
      </w:r>
      <w:r>
        <w:t xml:space="preserve">$32,485.58</w:t>
      </w:r>
    </w:p>
    <w:bookmarkStart w:id="24" w:name="terms-and-conditions"/>
    <w:p>
      <w:pPr>
        <w:pStyle w:val="Heading4"/>
      </w:pPr>
      <w:r>
        <w:t xml:space="preserve">Terms and Conditions</w:t>
      </w:r>
    </w:p>
    <w:p>
      <w:pPr>
        <w:pStyle w:val="FirstParagraph"/>
      </w:pPr>
      <w:r>
        <w:t xml:space="preserve">1.</w:t>
      </w:r>
      <w:r>
        <w:t xml:space="preserve"> </w:t>
      </w:r>
      <w:r>
        <w:rPr>
          <w:bCs/>
          <w:b/>
        </w:rPr>
        <w:t xml:space="preserve">Payment Terms:</w:t>
      </w:r>
      <w:r>
        <w:t xml:space="preserve"> </w:t>
      </w:r>
      <w:r>
        <w:t xml:space="preserve">Payment is due within thirty (30) days of the invoice date. Late payments will incur a finance charge of 1.5% per month or the maximum rate allowed by New York State law, whichever is less.</w:t>
      </w:r>
    </w:p>
    <w:p>
      <w:pPr>
        <w:pStyle w:val="BodyText"/>
      </w:pPr>
      <w:r>
        <w:t xml:space="preserve">2.</w:t>
      </w:r>
      <w:r>
        <w:t xml:space="preserve"> </w:t>
      </w:r>
      <w:r>
        <w:rPr>
          <w:bCs/>
          <w:b/>
        </w:rPr>
        <w:t xml:space="preserve">Scope of Work:</w:t>
      </w:r>
      <w:r>
        <w:t xml:space="preserve"> </w:t>
      </w:r>
      <w:r>
        <w:t xml:space="preserve">This Invoice covers professional architectural services rendered in accordance with the Agreement dated August 15, 2023. Services are performed in compliance with the standards of the American Institute of Architects (AIA) and the New York State Board for Architecture.</w:t>
      </w:r>
    </w:p>
    <w:p>
      <w:pPr>
        <w:pStyle w:val="BodyText"/>
      </w:pPr>
      <w:r>
        <w:t xml:space="preserve">3.</w:t>
      </w:r>
      <w:r>
        <w:t xml:space="preserve"> </w:t>
      </w:r>
      <w:r>
        <w:rPr>
          <w:bCs/>
          <w:b/>
        </w:rPr>
        <w:t xml:space="preserve">Expenses:</w:t>
      </w:r>
      <w:r>
        <w:t xml:space="preserve"> </w:t>
      </w:r>
      <w:r>
        <w:t xml:space="preserve">All out-of-pocket expenses, including but not limited to printing, courier services, and filing fees paid directly to the New York City Department of Buildings, are billed at cost and included in the relevant line items above.</w:t>
      </w:r>
    </w:p>
    <w:p>
      <w:pPr>
        <w:pStyle w:val="BodyText"/>
      </w:pPr>
      <w:r>
        <w:t xml:space="preserve">4.</w:t>
      </w:r>
      <w:r>
        <w:t xml:space="preserve"> </w:t>
      </w:r>
      <w:r>
        <w:rPr>
          <w:bCs/>
          <w:b/>
        </w:rPr>
        <w:t xml:space="preserve">Disputes:</w:t>
      </w:r>
      <w:r>
        <w:t xml:space="preserve"> </w:t>
      </w:r>
      <w:r>
        <w:t xml:space="preserve">Any disputes regarding this Invoice must be raised in writing within ten (10) days of receipt. Failure to dispute within this timeframe constitutes acceptance of the charges.</w:t>
      </w:r>
    </w:p>
    <w:p>
      <w:pPr>
        <w:pStyle w:val="BodyText"/>
      </w:pPr>
      <w:r>
        <w:t xml:space="preserve">5.</w:t>
      </w:r>
      <w:r>
        <w:t xml:space="preserve"> </w:t>
      </w:r>
      <w:r>
        <w:rPr>
          <w:bCs/>
          <w:b/>
        </w:rPr>
        <w:t xml:space="preserve">Governing Law:</w:t>
      </w:r>
      <w:r>
        <w:t xml:space="preserve"> </w:t>
      </w:r>
      <w:r>
        <w:t xml:space="preserve">This Invoice and the underlying services are governed by the laws of the State of New York.</w:t>
      </w:r>
    </w:p>
    <w:bookmarkEnd w:id="24"/>
    <w:p>
      <w:pPr>
        <w:pStyle w:val="BodyText"/>
      </w:pPr>
      <w:r>
        <w:t xml:space="preserve">Thank you for your business. We appreciate the opportunity to contribute to the architectural landscape of New York City.</w:t>
      </w:r>
    </w:p>
    <w:p>
      <w:pPr>
        <w:pStyle w:val="BodyText"/>
      </w:pPr>
      <w:r>
        <w:t xml:space="preserve">Metropolitan Design Architects | Registered in the State of New York</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Architectural Services Invoice - New York City</dc:title>
  <dc:creator/>
  <dc:language>en</dc:language>
  <cp:keywords/>
  <dcterms:created xsi:type="dcterms:W3CDTF">2026-10-10T07:08:57Z</dcterms:created>
  <dcterms:modified xsi:type="dcterms:W3CDTF">2026-10-10T07:08:57Z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