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p>
    <w:bookmarkStart w:id="20" w:name="bay-area-structural-architects"/>
    <w:p>
      <w:pPr>
        <w:pStyle w:val="Heading1"/>
      </w:pPr>
      <w:r>
        <w:t xml:space="preserve">Bay Area Structural Architects</w:t>
      </w:r>
    </w:p>
    <w:p>
      <w:pPr>
        <w:pStyle w:val="FirstParagraph"/>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billing@bayareastuctural.com</w:t>
      </w:r>
    </w:p>
    <w:p>
      <w:pPr>
        <w:pStyle w:val="BodyText"/>
      </w:pPr>
      <w:r>
        <w:t xml:space="preserve">CA Contractor License #A-12345678</w:t>
      </w:r>
    </w:p>
    <w:bookmarkEnd w:id="20"/>
    <w:bookmarkStart w:id="21" w:name="invoice"/>
    <w:p>
      <w:pPr>
        <w:pStyle w:val="Heading2"/>
      </w:pPr>
      <w:r>
        <w:t xml:space="preserve">INVOICE</w:t>
      </w:r>
    </w:p>
    <w:p>
      <w:pPr>
        <w:pStyle w:val="FirstParagraph"/>
      </w:pPr>
      <w:r>
        <w:t xml:space="preserve">Professional Architectural Services</w:t>
      </w:r>
    </w:p>
    <w:bookmarkEnd w:id="21"/>
    <w:bookmarkStart w:id="22" w:name="bill-to"/>
    <w:p>
      <w:pPr>
        <w:pStyle w:val="Heading3"/>
      </w:pPr>
      <w:r>
        <w:t xml:space="preserve">Bill To</w:t>
      </w:r>
    </w:p>
    <w:p>
      <w:pPr>
        <w:pStyle w:val="FirstParagraph"/>
      </w:pPr>
      <w:r>
        <w:rPr>
          <w:bCs/>
          <w:b/>
        </w:rPr>
        <w:t xml:space="preserve">Golden Gate Development Group</w:t>
      </w:r>
    </w:p>
    <w:p>
      <w:pPr>
        <w:pStyle w:val="BodyText"/>
      </w:pPr>
      <w:r>
        <w:t xml:space="preserve">Attn: Sarah Jenkins, Project Manager</w:t>
      </w:r>
    </w:p>
    <w:p>
      <w:pPr>
        <w:pStyle w:val="BodyText"/>
      </w:pPr>
      <w:r>
        <w:t xml:space="preserve">450 Montgomery Street</w:t>
      </w:r>
    </w:p>
    <w:p>
      <w:pPr>
        <w:pStyle w:val="BodyText"/>
      </w:pPr>
      <w:r>
        <w:t xml:space="preserve">San Francisco, CA 94111</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INV-2023-10-88</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Name:</w:t>
      </w:r>
      <w:r>
        <w:t xml:space="preserve"> </w:t>
      </w:r>
      <w:r>
        <w:t xml:space="preserve">SoMa Mixed-Use Renovation</w:t>
      </w:r>
    </w:p>
    <w:p>
      <w:pPr>
        <w:pStyle w:val="BodyText"/>
      </w:pPr>
      <w:r>
        <w:rPr>
          <w:bCs/>
          <w:b/>
        </w:rPr>
        <w:t xml:space="preserve">Project Address:</w:t>
      </w:r>
      <w:r>
        <w:t xml:space="preserve"> </w:t>
      </w:r>
      <w:r>
        <w:t xml:space="preserve">888 Brannan St, San Francisco, CA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rPr>
                <w:bCs/>
                <w:b/>
              </w:rPr>
              <w:t xml:space="preserve">Phase 2: Design Development - SoMa Renovation</w:t>
            </w:r>
            <w:r>
              <w:br/>
            </w:r>
            <w:r>
              <w:t xml:space="preserve">Comprehensive architectural design development for the mixed-use commercial and residential project located in the heart of San Francisco. This phase includes the refinement of schematic designs, coordination with structural and MEP engineers, and selection of sustainable materials compliant with local green building standards.</w:t>
            </w:r>
          </w:p>
        </w:tc>
        <w:tc>
          <w:tcPr/>
          <w:p>
            <w:pPr>
              <w:pStyle w:val="Compact"/>
              <w:jc w:val="left"/>
            </w:pPr>
            <w:r>
              <w:t xml:space="preserve">45.0</w:t>
            </w:r>
          </w:p>
        </w:tc>
        <w:tc>
          <w:tcPr/>
          <w:p>
            <w:pPr>
              <w:pStyle w:val="Compact"/>
              <w:jc w:val="left"/>
            </w:pPr>
            <w:r>
              <w:t xml:space="preserve">$225.00</w:t>
            </w:r>
          </w:p>
        </w:tc>
        <w:tc>
          <w:tcPr/>
          <w:p>
            <w:pPr>
              <w:pStyle w:val="Compact"/>
              <w:jc w:val="left"/>
            </w:pPr>
            <w:r>
              <w:t xml:space="preserve">$10,125.00</w:t>
            </w:r>
          </w:p>
        </w:tc>
      </w:tr>
      <w:tr>
        <w:tc>
          <w:tcPr/>
          <w:p>
            <w:pPr>
              <w:pStyle w:val="Compact"/>
              <w:jc w:val="left"/>
            </w:pPr>
            <w:r>
              <w:rPr>
                <w:bCs/>
                <w:b/>
              </w:rPr>
              <w:t xml:space="preserve">Site Analysis and Zoning Compliance Review</w:t>
            </w:r>
            <w:r>
              <w:br/>
            </w:r>
            <w:r>
              <w:t xml:space="preserve">Detailed analysis of the site conditions in accordance with the San Francisco Planning Code. This service includes evaluating setbacks, height restrictions, and parking requirements specific to the United States San Francisco jurisdiction. The Architect has ensured all preliminary designs align with the city's unique topography and seismic safety regulations.</w:t>
            </w:r>
          </w:p>
        </w:tc>
        <w:tc>
          <w:tcPr/>
          <w:p>
            <w:pPr>
              <w:pStyle w:val="Compact"/>
              <w:jc w:val="left"/>
            </w:pPr>
            <w:r>
              <w:t xml:space="preserve">12.5</w:t>
            </w:r>
          </w:p>
        </w:tc>
        <w:tc>
          <w:tcPr/>
          <w:p>
            <w:pPr>
              <w:pStyle w:val="Compact"/>
              <w:jc w:val="left"/>
            </w:pPr>
            <w:r>
              <w:t xml:space="preserve">$225.00</w:t>
            </w:r>
          </w:p>
        </w:tc>
        <w:tc>
          <w:tcPr/>
          <w:p>
            <w:pPr>
              <w:pStyle w:val="Compact"/>
              <w:jc w:val="left"/>
            </w:pPr>
            <w:r>
              <w:t xml:space="preserve">$2,812.50</w:t>
            </w:r>
          </w:p>
        </w:tc>
      </w:tr>
      <w:tr>
        <w:tc>
          <w:tcPr/>
          <w:p>
            <w:pPr>
              <w:pStyle w:val="Compact"/>
              <w:jc w:val="left"/>
            </w:pPr>
            <w:r>
              <w:rPr>
                <w:bCs/>
                <w:b/>
              </w:rPr>
              <w:t xml:space="preserve">3D Visualization and Rendering</w:t>
            </w:r>
            <w:r>
              <w:br/>
            </w:r>
            <w:r>
              <w:t xml:space="preserve">Creation of high-fidelity photorealistic renderings for client presentation and stakeholder approval. These visuals depict the exterior façade integration with the historic San Francisco streetscape and interior common areas. This deliverable is crucial for securing community support and planning commission approval.</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Seismic Retrofit Consultation</w:t>
            </w:r>
            <w:r>
              <w:br/>
            </w:r>
            <w:r>
              <w:t xml:space="preserve">Specialized architectural consultation regarding seismic retrofitting requirements. Given the location in the United States San Francisco, strict adherence to earthquake safety codes is mandatory. The Architect has coordinated with structural engineers to propose design modifications that enhance building resilience without compromising aesthetic integrity.</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rPr>
                <w:bCs/>
                <w:b/>
              </w:rPr>
              <w:t xml:space="preserve">City of San Francisco Permitting Assistance</w:t>
            </w:r>
            <w:r>
              <w:br/>
            </w:r>
            <w:r>
              <w:t xml:space="preserve">Preparation and submission of initial permit application documents to the Department of Building Inspection (DBI). This includes drafting cover letters, compiling architectural drawings, and ensuring all documentation meets the specific formatting requirements of the City and County of San Francisco.</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rPr>
                <w:bCs/>
                <w:b/>
              </w:rPr>
              <w:t xml:space="preserve">Client Meetings and Site Visits</w:t>
            </w:r>
            <w:r>
              <w:br/>
            </w:r>
            <w:r>
              <w:t xml:space="preserve">On-site meetings conducted in San Francisco to discuss design progress, review material samples, and address client concerns. These sessions ensure that the Architect's vision aligns with the client's expectations and the practical realities of the construction site.</w:t>
            </w:r>
          </w:p>
        </w:tc>
        <w:tc>
          <w:tcPr/>
          <w:p>
            <w:pPr>
              <w:pStyle w:val="Compact"/>
              <w:jc w:val="left"/>
            </w:pPr>
            <w:r>
              <w:t xml:space="preserve">6.0</w:t>
            </w:r>
          </w:p>
        </w:tc>
        <w:tc>
          <w:tcPr/>
          <w:p>
            <w:pPr>
              <w:pStyle w:val="Compact"/>
              <w:jc w:val="left"/>
            </w:pPr>
            <w:r>
              <w:t xml:space="preserve">$225.00</w:t>
            </w:r>
          </w:p>
        </w:tc>
        <w:tc>
          <w:tcPr/>
          <w:p>
            <w:pPr>
              <w:pStyle w:val="Compact"/>
              <w:jc w:val="left"/>
            </w:pPr>
            <w:r>
              <w:t xml:space="preserve">$1,350.00</w:t>
            </w:r>
          </w:p>
        </w:tc>
      </w:tr>
    </w:tbl>
    <w:p>
      <w:pPr>
        <w:pStyle w:val="BodyText"/>
      </w:pPr>
      <w:r>
        <w:t xml:space="preserve">Subtotal:</w:t>
      </w:r>
      <w:r>
        <w:t xml:space="preserve"> </w:t>
      </w:r>
      <w:r>
        <w:t xml:space="preserve">$22,787.50</w:t>
      </w:r>
    </w:p>
    <w:p>
      <w:pPr>
        <w:pStyle w:val="BodyText"/>
      </w:pPr>
      <w:r>
        <w:t xml:space="preserve">CA Sales Tax (Exempt - Professional Services):</w:t>
      </w:r>
      <w:r>
        <w:t xml:space="preserve"> </w:t>
      </w:r>
      <w:r>
        <w:t xml:space="preserve">$0.00</w:t>
      </w:r>
    </w:p>
    <w:p>
      <w:pPr>
        <w:pStyle w:val="BodyText"/>
      </w:pPr>
      <w:r>
        <w:t xml:space="preserve">Less: Retainer Applied (Oct 1, 2023):</w:t>
      </w:r>
      <w:r>
        <w:t xml:space="preserve"> </w:t>
      </w:r>
      <w:r>
        <w:t xml:space="preserve">-$5,000.00</w:t>
      </w:r>
    </w:p>
    <w:p>
      <w:pPr>
        <w:pStyle w:val="BodyText"/>
      </w:pPr>
      <w:r>
        <w:t xml:space="preserve">Total Due:</w:t>
      </w:r>
      <w:r>
        <w:t xml:space="preserve"> </w:t>
      </w:r>
      <w:r>
        <w:t xml:space="preserve">$17,787.50</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finance charge of 1.5% per month on the outstanding balance, in accordance with California Commercial Code.</w:t>
      </w:r>
    </w:p>
    <w:p>
      <w:pPr>
        <w:pStyle w:val="BodyText"/>
      </w:pPr>
      <w:r>
        <w:t xml:space="preserve">2.</w:t>
      </w:r>
      <w:r>
        <w:t xml:space="preserve"> </w:t>
      </w:r>
      <w:r>
        <w:rPr>
          <w:bCs/>
          <w:b/>
        </w:rPr>
        <w:t xml:space="preserve">Scope of Work:</w:t>
      </w:r>
      <w:r>
        <w:t xml:space="preserve"> </w:t>
      </w:r>
      <w:r>
        <w:t xml:space="preserve">This Invoice covers the architectural services explicitly described above for the project located in San Francisco, CA. Any additional services requested by the client outside the original scope will be billed separately at the prevailing hourly rates.</w:t>
      </w:r>
    </w:p>
    <w:p>
      <w:pPr>
        <w:pStyle w:val="BodyText"/>
      </w:pPr>
      <w:r>
        <w:t xml:space="preserve">3.</w:t>
      </w:r>
      <w:r>
        <w:t xml:space="preserve"> </w:t>
      </w:r>
      <w:r>
        <w:rPr>
          <w:bCs/>
          <w:b/>
        </w:rPr>
        <w:t xml:space="preserve">Regulatory Compliance:</w:t>
      </w:r>
      <w:r>
        <w:t xml:space="preserve"> </w:t>
      </w:r>
      <w:r>
        <w:t xml:space="preserve">The Architect has prepared these documents based on the building codes and regulations of the United States San Francisco as of the date of issue. The client is responsible for verifying any changes in local ordinances that may occur after this date.</w:t>
      </w:r>
    </w:p>
    <w:p>
      <w:pPr>
        <w:pStyle w:val="BodyText"/>
      </w:pPr>
      <w:r>
        <w:t xml:space="preserve">4.</w:t>
      </w:r>
      <w:r>
        <w:t xml:space="preserve"> </w:t>
      </w:r>
      <w:r>
        <w:rPr>
          <w:bCs/>
          <w:b/>
        </w:rPr>
        <w:t xml:space="preserve">Intellectual Property:</w:t>
      </w:r>
      <w:r>
        <w:t xml:space="preserve"> </w:t>
      </w:r>
      <w:r>
        <w:t xml:space="preserve">All drawings, specifications, and designs remain the property of Bay Area Structural Architects until full payment is received. Upon payment, the client is granted a license to use these documents for the specific project in San Francisco.</w:t>
      </w:r>
    </w:p>
    <w:p>
      <w:pPr>
        <w:pStyle w:val="BodyText"/>
      </w:pPr>
      <w:r>
        <w:t xml:space="preserve">5.</w:t>
      </w:r>
      <w:r>
        <w:t xml:space="preserve"> </w:t>
      </w:r>
      <w:r>
        <w:rPr>
          <w:bCs/>
          <w:b/>
        </w:rPr>
        <w:t xml:space="preserve">Dispute Resolution:</w:t>
      </w:r>
      <w:r>
        <w:t xml:space="preserve"> </w:t>
      </w:r>
      <w:r>
        <w:t xml:space="preserve">Any disputes arising from this Invoice or the associated architectural services shall be resolved through mediation in San Francisco, California, in accordance with the laws of the State of California.</w:t>
      </w:r>
    </w:p>
    <w:p>
      <w:pPr>
        <w:pStyle w:val="BodyText"/>
      </w:pPr>
      <w:r>
        <w:t xml:space="preserve">6.</w:t>
      </w:r>
      <w:r>
        <w:t xml:space="preserve"> </w:t>
      </w:r>
      <w:r>
        <w:rPr>
          <w:bCs/>
          <w:b/>
        </w:rPr>
        <w:t xml:space="preserve">Payment Methods:</w:t>
      </w:r>
      <w:r>
        <w:t xml:space="preserve"> </w:t>
      </w:r>
      <w:r>
        <w:t xml:space="preserve">Payments can be made via wire transfer, check, or ACH. Please include the Invoice Number (INV-2023-10-88) as the reference for all payments.</w:t>
      </w:r>
    </w:p>
    <w:bookmarkEnd w:id="24"/>
    <w:p>
      <w:pPr>
        <w:pStyle w:val="BodyText"/>
      </w:pPr>
      <w:r>
        <w:t xml:space="preserve">Thank you for your business. We appreciate the opportunity to contribute to the architectural landscape of San Francisco.</w:t>
      </w:r>
    </w:p>
    <w:p>
      <w:pPr>
        <w:pStyle w:val="BodyText"/>
      </w:pPr>
      <w:r>
        <w:t xml:space="preserve">Bay Area Structural Architects | 123 Market Street, Suite 400, San Francisco, CA 94105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