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Architectural</w:t>
      </w:r>
      <w:r>
        <w:t xml:space="preserve"> </w:t>
      </w:r>
      <w:r>
        <w:t xml:space="preserve">Services</w:t>
      </w:r>
      <w:r>
        <w:t xml:space="preserve"> </w:t>
      </w:r>
      <w:r>
        <w:t xml:space="preserve">Invoice</w:t>
      </w:r>
      <w:r>
        <w:t xml:space="preserve"> </w:t>
      </w:r>
      <w:r>
        <w:t xml:space="preserve">-</w:t>
      </w:r>
      <w:r>
        <w:t xml:space="preserve"> </w:t>
      </w:r>
      <w:r>
        <w:t xml:space="preserve">Tashkent,</w:t>
      </w:r>
      <w:r>
        <w:t xml:space="preserve"> </w:t>
      </w:r>
      <w:r>
        <w:t xml:space="preserve">Uzbekistan</w:t>
      </w:r>
    </w:p>
    <w:bookmarkStart w:id="20" w:name="samarkand-architectural-studio"/>
    <w:p>
      <w:pPr>
        <w:pStyle w:val="Heading1"/>
      </w:pPr>
      <w:r>
        <w:t xml:space="preserve">Samarkand Architectural Studio</w:t>
      </w:r>
    </w:p>
    <w:p>
      <w:pPr>
        <w:pStyle w:val="FirstParagraph"/>
      </w:pPr>
      <w:r>
        <w:rPr>
          <w:bCs/>
          <w:b/>
        </w:rPr>
        <w:t xml:space="preserve">License No:</w:t>
      </w:r>
      <w:r>
        <w:t xml:space="preserve"> </w:t>
      </w:r>
      <w:r>
        <w:t xml:space="preserve">UA-2023-8842 (Ministry of Architecture and Construction)</w:t>
      </w:r>
    </w:p>
    <w:p>
      <w:pPr>
        <w:pStyle w:val="BodyText"/>
      </w:pPr>
      <w:r>
        <w:rPr>
          <w:bCs/>
          <w:b/>
        </w:rPr>
        <w:t xml:space="preserve">Address:</w:t>
      </w:r>
      <w:r>
        <w:t xml:space="preserve"> </w:t>
      </w:r>
      <w:r>
        <w:t xml:space="preserve">45 Amir Temur Avenue, Yunusabad District</w:t>
      </w:r>
    </w:p>
    <w:p>
      <w:pPr>
        <w:pStyle w:val="BodyText"/>
      </w:pPr>
      <w:r>
        <w:t xml:space="preserve">Tashkent, Uzbekistan, 100000</w:t>
      </w:r>
    </w:p>
    <w:p>
      <w:pPr>
        <w:pStyle w:val="BodyText"/>
      </w:pPr>
      <w:r>
        <w:rPr>
          <w:bCs/>
          <w:b/>
        </w:rPr>
        <w:t xml:space="preserve">TIN (JSHSHIR):</w:t>
      </w:r>
      <w:r>
        <w:t xml:space="preserve"> </w:t>
      </w:r>
      <w:r>
        <w:t xml:space="preserve">123456789</w:t>
      </w:r>
    </w:p>
    <w:p>
      <w:pPr>
        <w:pStyle w:val="BodyText"/>
      </w:pPr>
      <w:r>
        <w:rPr>
          <w:bCs/>
          <w:b/>
        </w:rPr>
        <w:t xml:space="preserve">Email:</w:t>
      </w:r>
      <w:r>
        <w:t xml:space="preserve"> </w:t>
      </w:r>
      <w:r>
        <w:t xml:space="preserve">billing@samarkandarch.uz</w:t>
      </w:r>
    </w:p>
    <w:p>
      <w:pPr>
        <w:pStyle w:val="BodyText"/>
      </w:pPr>
      <w:r>
        <w:rPr>
          <w:bCs/>
          <w:b/>
        </w:rPr>
        <w:t xml:space="preserve">Phone:</w:t>
      </w:r>
      <w:r>
        <w:t xml:space="preserve"> </w:t>
      </w:r>
      <w:r>
        <w:t xml:space="preserve">+998 71 123 45 67</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INV-TKT-2023-0092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07,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Tashkent Modern Developments LLC</w:t>
      </w:r>
    </w:p>
    <w:p>
      <w:pPr>
        <w:pStyle w:val="BodyText"/>
      </w:pPr>
      <w:r>
        <w:rPr>
          <w:bCs/>
          <w:b/>
        </w:rPr>
        <w:t xml:space="preserve">Attn:</w:t>
      </w:r>
      <w:r>
        <w:t xml:space="preserve"> </w:t>
      </w:r>
      <w:r>
        <w:t xml:space="preserve">Mr. Rustam Karimov, Project Director</w:t>
      </w:r>
    </w:p>
    <w:p>
      <w:pPr>
        <w:pStyle w:val="BodyText"/>
      </w:pPr>
      <w:r>
        <w:rPr>
          <w:bCs/>
          <w:b/>
        </w:rPr>
        <w:t xml:space="preserve">Address:</w:t>
      </w:r>
      <w:r>
        <w:t xml:space="preserve"> </w:t>
      </w:r>
      <w:r>
        <w:t xml:space="preserve">12 Navoi Street, Mirzo Ulugbek District</w:t>
      </w:r>
    </w:p>
    <w:p>
      <w:pPr>
        <w:pStyle w:val="BodyText"/>
      </w:pPr>
      <w:r>
        <w:t xml:space="preserve">Tashkent, Uzbekistan, 100084</w:t>
      </w:r>
    </w:p>
    <w:p>
      <w:pPr>
        <w:pStyle w:val="BodyText"/>
      </w:pPr>
      <w:r>
        <w:rPr>
          <w:bCs/>
          <w:b/>
        </w:rPr>
        <w:t xml:space="preserve">TIN (JSHSHIR):</w:t>
      </w:r>
      <w:r>
        <w:t xml:space="preserve"> </w:t>
      </w:r>
      <w:r>
        <w:t xml:space="preserve">987654321</w:t>
      </w:r>
    </w:p>
    <w:bookmarkEnd w:id="22"/>
    <w:bookmarkStart w:id="23" w:name="project-reference"/>
    <w:p>
      <w:pPr>
        <w:pStyle w:val="Heading3"/>
      </w:pPr>
      <w:r>
        <w:t xml:space="preserve">Project Reference:</w:t>
      </w:r>
    </w:p>
    <w:p>
      <w:pPr>
        <w:pStyle w:val="FirstParagraph"/>
      </w:pPr>
      <w:r>
        <w:rPr>
          <w:bCs/>
          <w:b/>
        </w:rPr>
        <w:t xml:space="preserve">Project Name:</w:t>
      </w:r>
      <w:r>
        <w:t xml:space="preserve"> </w:t>
      </w:r>
      <w:r>
        <w:t xml:space="preserve">"Silk Road Heights" Residential Complex</w:t>
      </w:r>
    </w:p>
    <w:p>
      <w:pPr>
        <w:pStyle w:val="BodyText"/>
      </w:pPr>
      <w:r>
        <w:rPr>
          <w:bCs/>
          <w:b/>
        </w:rPr>
        <w:t xml:space="preserve">Location:</w:t>
      </w:r>
      <w:r>
        <w:t xml:space="preserve"> </w:t>
      </w:r>
      <w:r>
        <w:t xml:space="preserve">Chilonzor District, Tashkent</w:t>
      </w:r>
    </w:p>
    <w:p>
      <w:pPr>
        <w:pStyle w:val="BodyText"/>
      </w:pPr>
      <w:r>
        <w:rPr>
          <w:bCs/>
          <w:b/>
        </w:rPr>
        <w:t xml:space="preserve">Phase:</w:t>
      </w:r>
      <w:r>
        <w:t xml:space="preserve"> </w:t>
      </w:r>
      <w:r>
        <w:t xml:space="preserve">Phase II - Detailed Design &amp; Structural Analysis</w:t>
      </w:r>
    </w:p>
    <w:p>
      <w:pPr>
        <w:pStyle w:val="BodyText"/>
      </w:pPr>
      <w:r>
        <w:rPr>
          <w:bCs/>
          <w:b/>
        </w:rPr>
        <w:t xml:space="preserve">Contract Ref:</w:t>
      </w:r>
      <w:r>
        <w:t xml:space="preserve"> </w:t>
      </w:r>
      <w:r>
        <w:t xml:space="preserve">ARC-TR-2023-44</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Architectural Services</w:t>
            </w:r>
          </w:p>
        </w:tc>
        <w:tc>
          <w:tcPr/>
          <w:p>
            <w:pPr>
              <w:pStyle w:val="Compact"/>
              <w:jc w:val="left"/>
            </w:pPr>
            <w:r>
              <w:t xml:space="preserve">Hours / Units</w:t>
            </w:r>
          </w:p>
        </w:tc>
        <w:tc>
          <w:tcPr/>
          <w:p>
            <w:pPr>
              <w:pStyle w:val="Compact"/>
              <w:jc w:val="left"/>
            </w:pPr>
            <w:r>
              <w:t xml:space="preserve">Rate (UZS)</w:t>
            </w:r>
          </w:p>
        </w:tc>
        <w:tc>
          <w:tcPr/>
          <w:p>
            <w:pPr>
              <w:pStyle w:val="Compact"/>
              <w:jc w:val="left"/>
            </w:pPr>
            <w:r>
              <w:t xml:space="preserve">Amount (UZS)</w:t>
            </w:r>
          </w:p>
        </w:tc>
      </w:tr>
      <w:tr>
        <w:tc>
          <w:tcPr/>
          <w:p>
            <w:pPr>
              <w:pStyle w:val="Compact"/>
              <w:jc w:val="left"/>
            </w:pPr>
            <w:r>
              <w:t xml:space="preserve">1</w:t>
            </w:r>
          </w:p>
        </w:tc>
        <w:tc>
          <w:tcPr/>
          <w:p>
            <w:pPr>
              <w:pStyle w:val="Compact"/>
              <w:jc w:val="left"/>
            </w:pPr>
            <w:r>
              <w:rPr>
                <w:bCs/>
                <w:b/>
              </w:rPr>
              <w:t xml:space="preserve">Conceptual Design Development:</w:t>
            </w:r>
            <w:r>
              <w:t xml:space="preserve"> </w:t>
            </w:r>
            <w:r>
              <w:t xml:space="preserve">Creation of 3D massing models and facade studies compliant with Tashkent City Master Plan regulations. Includes client presentation meetings.</w:t>
            </w:r>
          </w:p>
        </w:tc>
        <w:tc>
          <w:tcPr/>
          <w:p>
            <w:pPr>
              <w:pStyle w:val="Compact"/>
              <w:jc w:val="left"/>
            </w:pPr>
            <w:r>
              <w:t xml:space="preserve">40</w:t>
            </w:r>
          </w:p>
        </w:tc>
        <w:tc>
          <w:tcPr/>
          <w:p>
            <w:pPr>
              <w:pStyle w:val="Compact"/>
              <w:jc w:val="left"/>
            </w:pPr>
            <w:r>
              <w:t xml:space="preserve">1,500,000</w:t>
            </w:r>
          </w:p>
        </w:tc>
        <w:tc>
          <w:tcPr/>
          <w:p>
            <w:pPr>
              <w:pStyle w:val="Compact"/>
              <w:jc w:val="left"/>
            </w:pPr>
            <w:r>
              <w:t xml:space="preserve">60,000,000</w:t>
            </w:r>
          </w:p>
        </w:tc>
      </w:tr>
      <w:tr>
        <w:tc>
          <w:tcPr/>
          <w:p>
            <w:pPr>
              <w:pStyle w:val="Compact"/>
              <w:jc w:val="left"/>
            </w:pPr>
            <w:r>
              <w:t xml:space="preserve">2</w:t>
            </w:r>
          </w:p>
        </w:tc>
        <w:tc>
          <w:tcPr/>
          <w:p>
            <w:pPr>
              <w:pStyle w:val="Compact"/>
              <w:jc w:val="left"/>
            </w:pPr>
            <w:r>
              <w:rPr>
                <w:bCs/>
                <w:b/>
              </w:rPr>
              <w:t xml:space="preserve">Architectural Drawings (Working Set):</w:t>
            </w:r>
            <w:r>
              <w:t xml:space="preserve"> </w:t>
            </w:r>
            <w:r>
              <w:t xml:space="preserve">Production of detailed floor plans, elevations, and sections for the 12-story residential block. Prepared in accordance with Uzbek State Standards (O'zDSt).</w:t>
            </w:r>
          </w:p>
        </w:tc>
        <w:tc>
          <w:tcPr/>
          <w:p>
            <w:pPr>
              <w:pStyle w:val="Compact"/>
              <w:jc w:val="left"/>
            </w:pPr>
            <w:r>
              <w:t xml:space="preserve">120</w:t>
            </w:r>
          </w:p>
        </w:tc>
        <w:tc>
          <w:tcPr/>
          <w:p>
            <w:pPr>
              <w:pStyle w:val="Compact"/>
              <w:jc w:val="left"/>
            </w:pPr>
            <w:r>
              <w:t xml:space="preserve">1,500,000</w:t>
            </w:r>
          </w:p>
        </w:tc>
        <w:tc>
          <w:tcPr/>
          <w:p>
            <w:pPr>
              <w:pStyle w:val="Compact"/>
              <w:jc w:val="left"/>
            </w:pPr>
            <w:r>
              <w:t xml:space="preserve">180,000,000</w:t>
            </w:r>
          </w:p>
        </w:tc>
      </w:tr>
      <w:tr>
        <w:tc>
          <w:tcPr/>
          <w:p>
            <w:pPr>
              <w:pStyle w:val="Compact"/>
              <w:jc w:val="left"/>
            </w:pPr>
            <w:r>
              <w:t xml:space="preserve">3</w:t>
            </w:r>
          </w:p>
        </w:tc>
        <w:tc>
          <w:tcPr/>
          <w:p>
            <w:pPr>
              <w:pStyle w:val="Compact"/>
              <w:jc w:val="left"/>
            </w:pPr>
            <w:r>
              <w:rPr>
                <w:bCs/>
                <w:b/>
              </w:rPr>
              <w:t xml:space="preserve">Interior Layout Planning:</w:t>
            </w:r>
            <w:r>
              <w:t xml:space="preserve"> </w:t>
            </w:r>
            <w:r>
              <w:t xml:space="preserve">Optimization of residential unit layouts for efficiency and natural light, including kitchen and bathroom fixture schedules.</w:t>
            </w:r>
          </w:p>
        </w:tc>
        <w:tc>
          <w:tcPr/>
          <w:p>
            <w:pPr>
              <w:pStyle w:val="Compact"/>
              <w:jc w:val="left"/>
            </w:pPr>
            <w:r>
              <w:t xml:space="preserve">60</w:t>
            </w:r>
          </w:p>
        </w:tc>
        <w:tc>
          <w:tcPr/>
          <w:p>
            <w:pPr>
              <w:pStyle w:val="Compact"/>
              <w:jc w:val="left"/>
            </w:pPr>
            <w:r>
              <w:t xml:space="preserve">1,200,000</w:t>
            </w:r>
          </w:p>
        </w:tc>
        <w:tc>
          <w:tcPr/>
          <w:p>
            <w:pPr>
              <w:pStyle w:val="Compact"/>
              <w:jc w:val="left"/>
            </w:pPr>
            <w:r>
              <w:t xml:space="preserve">72,000,000</w:t>
            </w:r>
          </w:p>
        </w:tc>
      </w:tr>
      <w:tr>
        <w:tc>
          <w:tcPr/>
          <w:p>
            <w:pPr>
              <w:pStyle w:val="Compact"/>
              <w:jc w:val="left"/>
            </w:pPr>
            <w:r>
              <w:t xml:space="preserve">4</w:t>
            </w:r>
          </w:p>
        </w:tc>
        <w:tc>
          <w:tcPr/>
          <w:p>
            <w:pPr>
              <w:pStyle w:val="Compact"/>
              <w:jc w:val="left"/>
            </w:pPr>
            <w:r>
              <w:rPr>
                <w:bCs/>
                <w:b/>
              </w:rPr>
              <w:t xml:space="preserve">Regulatory Compliance Review:</w:t>
            </w:r>
            <w:r>
              <w:t xml:space="preserve"> </w:t>
            </w:r>
            <w:r>
              <w:t xml:space="preserve">Coordination with local Tashkent municipal authorities to ensure zoning compliance and fire safety regulations adherence.</w:t>
            </w:r>
          </w:p>
        </w:tc>
        <w:tc>
          <w:tcPr/>
          <w:p>
            <w:pPr>
              <w:pStyle w:val="Compact"/>
              <w:jc w:val="left"/>
            </w:pPr>
            <w:r>
              <w:t xml:space="preserve">15</w:t>
            </w:r>
          </w:p>
        </w:tc>
        <w:tc>
          <w:tcPr/>
          <w:p>
            <w:pPr>
              <w:pStyle w:val="Compact"/>
              <w:jc w:val="left"/>
            </w:pPr>
            <w:r>
              <w:t xml:space="preserve">2,000,000</w:t>
            </w:r>
          </w:p>
        </w:tc>
        <w:tc>
          <w:tcPr/>
          <w:p>
            <w:pPr>
              <w:pStyle w:val="Compact"/>
              <w:jc w:val="left"/>
            </w:pPr>
            <w:r>
              <w:t xml:space="preserve">30,000,000</w:t>
            </w:r>
          </w:p>
        </w:tc>
      </w:tr>
      <w:tr>
        <w:tc>
          <w:tcPr/>
          <w:p>
            <w:pPr>
              <w:pStyle w:val="Compact"/>
              <w:jc w:val="left"/>
            </w:pPr>
            <w:r>
              <w:t xml:space="preserve">5</w:t>
            </w:r>
          </w:p>
        </w:tc>
        <w:tc>
          <w:tcPr/>
          <w:p>
            <w:pPr>
              <w:pStyle w:val="Compact"/>
              <w:jc w:val="left"/>
            </w:pPr>
            <w:r>
              <w:rPr>
                <w:bCs/>
                <w:b/>
              </w:rPr>
              <w:t xml:space="preserve">Site Visits &amp; Supervision:</w:t>
            </w:r>
            <w:r>
              <w:t xml:space="preserve"> </w:t>
            </w:r>
            <w:r>
              <w:t xml:space="preserve">On-site architectural supervision at the Chilonzor construction site to verify alignment with design intent.</w:t>
            </w:r>
          </w:p>
        </w:tc>
        <w:tc>
          <w:tcPr/>
          <w:p>
            <w:pPr>
              <w:pStyle w:val="Compact"/>
              <w:jc w:val="left"/>
            </w:pPr>
            <w:r>
              <w:t xml:space="preserve">10</w:t>
            </w:r>
          </w:p>
        </w:tc>
        <w:tc>
          <w:tcPr/>
          <w:p>
            <w:pPr>
              <w:pStyle w:val="Compact"/>
              <w:jc w:val="left"/>
            </w:pPr>
            <w:r>
              <w:t xml:space="preserve">1,800,000</w:t>
            </w:r>
          </w:p>
        </w:tc>
        <w:tc>
          <w:tcPr/>
          <w:p>
            <w:pPr>
              <w:pStyle w:val="Compact"/>
              <w:jc w:val="left"/>
            </w:pPr>
            <w:r>
              <w:t xml:space="preserve">18,000,000</w:t>
            </w:r>
          </w:p>
        </w:tc>
      </w:tr>
    </w:tbl>
    <w:p>
      <w:pPr>
        <w:pStyle w:val="BodyText"/>
      </w:pPr>
      <w:r>
        <w:t xml:space="preserve">Subtotal:</w:t>
      </w:r>
      <w:r>
        <w:t xml:space="preserve"> </w:t>
      </w:r>
      <w:r>
        <w:t xml:space="preserve">360,000,000 UZS</w:t>
      </w:r>
    </w:p>
    <w:p>
      <w:pPr>
        <w:pStyle w:val="BodyText"/>
      </w:pPr>
      <w:r>
        <w:t xml:space="preserve">VAT (12% - Uzbekistan Standard Rate):</w:t>
      </w:r>
      <w:r>
        <w:t xml:space="preserve"> </w:t>
      </w:r>
      <w:r>
        <w:t xml:space="preserve">43,200,000 UZS</w:t>
      </w:r>
    </w:p>
    <w:p>
      <w:pPr>
        <w:pStyle w:val="BodyText"/>
      </w:pPr>
      <w:r>
        <w:t xml:space="preserve">TOTAL DUE:</w:t>
      </w:r>
      <w:r>
        <w:t xml:space="preserve"> </w:t>
      </w:r>
      <w:r>
        <w:t xml:space="preserve">403,200,000 UZS</w:t>
      </w:r>
    </w:p>
    <w:p>
      <w:pPr>
        <w:pStyle w:val="BodyText"/>
      </w:pPr>
      <w:r>
        <w:t xml:space="preserve">(Four hundred three million two hundred thousand Uzbekistan Som)</w:t>
      </w:r>
    </w:p>
    <w:bookmarkStart w:id="24" w:name="payment-instructions"/>
    <w:p>
      <w:pPr>
        <w:pStyle w:val="Heading4"/>
      </w:pPr>
      <w:r>
        <w:t xml:space="preserve">Payment Instructions</w:t>
      </w:r>
    </w:p>
    <w:p>
      <w:pPr>
        <w:pStyle w:val="FirstParagraph"/>
      </w:pPr>
      <w:r>
        <w:t xml:space="preserve">Please remit payment within 14 days of the invoice date. Payments should be made via bank transfer to the following account details:</w:t>
      </w:r>
    </w:p>
    <w:p>
      <w:pPr>
        <w:pStyle w:val="BodyText"/>
      </w:pPr>
      <w:r>
        <w:rPr>
          <w:bCs/>
          <w:b/>
        </w:rPr>
        <w:t xml:space="preserve">Bank Name:</w:t>
      </w:r>
      <w:r>
        <w:t xml:space="preserve"> </w:t>
      </w:r>
      <w:r>
        <w:t xml:space="preserve">Kapitalbank JSC</w:t>
      </w:r>
      <w:r>
        <w:br/>
      </w:r>
      <w:r>
        <w:rPr>
          <w:bCs/>
          <w:b/>
        </w:rPr>
        <w:t xml:space="preserve">Account Name:</w:t>
      </w:r>
      <w:r>
        <w:t xml:space="preserve"> </w:t>
      </w:r>
      <w:r>
        <w:t xml:space="preserve">Samarkand Architectural Studio LLC</w:t>
      </w:r>
      <w:r>
        <w:br/>
      </w:r>
      <w:r>
        <w:rPr>
          <w:bCs/>
          <w:b/>
        </w:rPr>
        <w:t xml:space="preserve">Account Number:</w:t>
      </w:r>
      <w:r>
        <w:t xml:space="preserve"> </w:t>
      </w:r>
      <w:r>
        <w:t xml:space="preserve">2001000000123456789</w:t>
      </w:r>
      <w:r>
        <w:br/>
      </w:r>
      <w:r>
        <w:rPr>
          <w:bCs/>
          <w:b/>
        </w:rPr>
        <w:t xml:space="preserve">SWIFT Code:</w:t>
      </w:r>
      <w:r>
        <w:t xml:space="preserve"> </w:t>
      </w:r>
      <w:r>
        <w:t xml:space="preserve">KAPBUZ2X</w:t>
      </w:r>
      <w:r>
        <w:br/>
      </w:r>
      <w:r>
        <w:rPr>
          <w:bCs/>
          <w:b/>
        </w:rPr>
        <w:t xml:space="preserve">Reference:</w:t>
      </w:r>
      <w:r>
        <w:t xml:space="preserve"> </w:t>
      </w:r>
      <w:r>
        <w:t xml:space="preserve">INV-TKT-2023-0092</w:t>
      </w:r>
    </w:p>
    <w:p>
      <w:pPr>
        <w:pStyle w:val="BodyText"/>
      </w:pPr>
      <w:r>
        <w:t xml:space="preserve">For international transfers, please ensure all intermediary bank fees are covered by the sender.</w:t>
      </w:r>
    </w:p>
    <w:bookmarkEnd w:id="24"/>
    <w:bookmarkStart w:id="25" w:name="terms-and-conditions"/>
    <w:p>
      <w:pPr>
        <w:pStyle w:val="Heading4"/>
      </w:pPr>
      <w:r>
        <w:t xml:space="preserve">Terms and Conditions</w:t>
      </w:r>
    </w:p>
    <w:p>
      <w:pPr>
        <w:pStyle w:val="FirstParagraph"/>
      </w:pPr>
      <w:r>
        <w:t xml:space="preserve">1.</w:t>
      </w:r>
      <w:r>
        <w:t xml:space="preserve"> </w:t>
      </w:r>
      <w:r>
        <w:rPr>
          <w:bCs/>
          <w:b/>
        </w:rPr>
        <w:t xml:space="preserve">Scope of Work:</w:t>
      </w:r>
      <w:r>
        <w:t xml:space="preserve"> </w:t>
      </w:r>
      <w:r>
        <w:t xml:space="preserve">This invoice covers the architectural services rendered as outlined in the contract dated September 1, 2023. Any additional services requested outside this scope will be billed separately.</w:t>
      </w:r>
    </w:p>
    <w:p>
      <w:pPr>
        <w:pStyle w:val="BodyText"/>
      </w:pPr>
      <w:r>
        <w:t xml:space="preserve">2.</w:t>
      </w:r>
      <w:r>
        <w:t xml:space="preserve"> </w:t>
      </w:r>
      <w:r>
        <w:rPr>
          <w:bCs/>
          <w:b/>
        </w:rPr>
        <w:t xml:space="preserve">Regulatory Compliance:</w:t>
      </w:r>
      <w:r>
        <w:t xml:space="preserve"> </w:t>
      </w:r>
      <w:r>
        <w:t xml:space="preserve">All designs provided by the Architect are intended to meet the current building codes and regulations of the Republic of Uzbekistan and the City of Tashkent. However, the Client is responsible for obtaining final permits and approvals from local authorities.</w:t>
      </w:r>
    </w:p>
    <w:p>
      <w:pPr>
        <w:pStyle w:val="BodyText"/>
      </w:pPr>
      <w:r>
        <w:t xml:space="preserve">3.</w:t>
      </w:r>
      <w:r>
        <w:t xml:space="preserve"> </w:t>
      </w:r>
      <w:r>
        <w:rPr>
          <w:bCs/>
          <w:b/>
        </w:rPr>
        <w:t xml:space="preserve">Intellectual Property:</w:t>
      </w:r>
      <w:r>
        <w:t xml:space="preserve"> </w:t>
      </w:r>
      <w:r>
        <w:t xml:space="preserve">All drawings, models, and designs remain the intellectual property of Samarkand Architectural Studio until full payment is received. Upon payment, the Client is granted a license to use these materials for the specific project located in Tashkent.</w:t>
      </w:r>
    </w:p>
    <w:p>
      <w:pPr>
        <w:pStyle w:val="BodyText"/>
      </w:pPr>
      <w:r>
        <w:t xml:space="preserve">4.</w:t>
      </w:r>
      <w:r>
        <w:t xml:space="preserve"> </w:t>
      </w:r>
      <w:r>
        <w:rPr>
          <w:bCs/>
          <w:b/>
        </w:rPr>
        <w:t xml:space="preserve">Late Payments:</w:t>
      </w:r>
      <w:r>
        <w:t xml:space="preserve"> </w:t>
      </w:r>
      <w:r>
        <w:t xml:space="preserve">Invoices not paid by the due date will incur a late fee of 1.5% per month on the outstanding balance, in accordance with the Civil Code of Uzbekistan.</w:t>
      </w:r>
    </w:p>
    <w:p>
      <w:pPr>
        <w:pStyle w:val="BodyText"/>
      </w:pPr>
      <w:r>
        <w:t xml:space="preserve">5.</w:t>
      </w:r>
      <w:r>
        <w:t xml:space="preserve"> </w:t>
      </w:r>
      <w:r>
        <w:rPr>
          <w:bCs/>
          <w:b/>
        </w:rPr>
        <w:t xml:space="preserve">Revisions:</w:t>
      </w:r>
      <w:r>
        <w:t xml:space="preserve"> </w:t>
      </w:r>
      <w:r>
        <w:t xml:space="preserve">This invoice includes up to two rounds of revisions for the conceptual design phase. Additional revisions will be charged at the hourly rate specified in the contract.</w:t>
      </w:r>
    </w:p>
    <w:p>
      <w:pPr>
        <w:pStyle w:val="BodyText"/>
      </w:pPr>
      <w:r>
        <w:t xml:space="preserve">6.</w:t>
      </w:r>
      <w:r>
        <w:t xml:space="preserve"> </w:t>
      </w:r>
      <w:r>
        <w:rPr>
          <w:bCs/>
          <w:b/>
        </w:rPr>
        <w:t xml:space="preserve">Dispute Resolution:</w:t>
      </w:r>
      <w:r>
        <w:t xml:space="preserve"> </w:t>
      </w:r>
      <w:r>
        <w:t xml:space="preserve">Any disputes arising from this invoice or the associated services shall be resolved through negotiation. If unresolved, disputes will be settled in the courts of Tashkent City, Uzbekistan.</w:t>
      </w:r>
    </w:p>
    <w:bookmarkEnd w:id="25"/>
    <w:p>
      <w:pPr>
        <w:pStyle w:val="BodyText"/>
      </w:pPr>
      <w:r>
        <w:t xml:space="preserve">This document serves as a formal request for payment for professional architectural services. The Architect acts as an independent contractor. The information contained herein is confidential and intended solely for the use of the individual or entity to whom it is addressed. This invoice is generated in compliance with the tax laws of the Republic of Uzbekistan. By accepting this invoice, the Client acknowledges receipt of the services described and agrees to the terms of payment.</w:t>
      </w:r>
    </w:p>
    <w:p>
      <w:pPr>
        <w:pStyle w:val="BodyText"/>
      </w:pPr>
      <w:r>
        <w:rPr>
          <w:bCs/>
          <w:b/>
        </w:rPr>
        <w:t xml:space="preserve">Authorized Signature:</w:t>
      </w:r>
      <w:r>
        <w:t xml:space="preserve"> </w:t>
      </w:r>
      <w:r>
        <w:t xml:space="preserve">__________________________</w:t>
      </w:r>
      <w:r>
        <w:br/>
      </w:r>
      <w:r>
        <w:rPr>
          <w:iCs/>
          <w:i/>
        </w:rPr>
        <w:t xml:space="preserve">A. Rakhimov, Lead Architect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Architectural Services Invoice - Tashkent, Uzbekistan</dc:title>
  <dc:creator/>
  <dc:language>en</dc:language>
  <cp:keywords/>
  <dcterms:created xsi:type="dcterms:W3CDTF">2026-10-10T06:27:36Z</dcterms:created>
  <dcterms:modified xsi:type="dcterms:W3CDTF">2026-10-10T06:27:36Z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