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Caracas,</w:t>
      </w:r>
      <w:r>
        <w:t xml:space="preserve"> </w:t>
      </w:r>
      <w:r>
        <w:t xml:space="preserve">Venezuela</w:t>
      </w:r>
    </w:p>
    <w:bookmarkStart w:id="20" w:name="estudio-de-arquitectura-caracas"/>
    <w:p>
      <w:pPr>
        <w:pStyle w:val="Heading1"/>
      </w:pPr>
      <w:r>
        <w:t xml:space="preserve">Estudio de Arquitectura Caracas</w:t>
      </w:r>
    </w:p>
    <w:p>
      <w:pPr>
        <w:pStyle w:val="FirstParagraph"/>
      </w:pPr>
      <w:r>
        <w:rPr>
          <w:bCs/>
          <w:b/>
        </w:rPr>
        <w:t xml:space="preserve">Professional Architectural Services</w:t>
      </w:r>
    </w:p>
    <w:p>
      <w:pPr>
        <w:pStyle w:val="BodyText"/>
      </w:pPr>
      <w:r>
        <w:t xml:space="preserve">Av. Francisco de Miranda, Torre Empresarial, Piso 12</w:t>
      </w:r>
    </w:p>
    <w:p>
      <w:pPr>
        <w:pStyle w:val="BodyText"/>
      </w:pPr>
      <w:r>
        <w:t xml:space="preserve">Chacao, Caracas, Venezuela</w:t>
      </w:r>
    </w:p>
    <w:p>
      <w:pPr>
        <w:pStyle w:val="BodyText"/>
      </w:pPr>
      <w:r>
        <w:t xml:space="preserve">RIF: J-12345678-9</w:t>
      </w:r>
    </w:p>
    <w:p>
      <w:pPr>
        <w:pStyle w:val="BodyText"/>
      </w:pPr>
      <w:r>
        <w:t xml:space="preserve">Phone: +58 (212) 555-0199</w:t>
      </w:r>
    </w:p>
    <w:p>
      <w:pPr>
        <w:pStyle w:val="BodyText"/>
      </w:pPr>
      <w:r>
        <w:t xml:space="preserve">Email: billing@arquitectocaracas.com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RES-ALTAMIRA-01</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Grupo Inmobiliario Los Palos Grandes, C.A.</w:t>
      </w:r>
    </w:p>
    <w:p>
      <w:pPr>
        <w:pStyle w:val="BodyText"/>
      </w:pPr>
      <w:r>
        <w:rPr>
          <w:bCs/>
          <w:b/>
        </w:rPr>
        <w:t xml:space="preserve">Attn:</w:t>
      </w:r>
      <w:r>
        <w:t xml:space="preserve"> </w:t>
      </w:r>
      <w:r>
        <w:t xml:space="preserve">Mr. Roberto Mendoza, Project Director</w:t>
      </w:r>
    </w:p>
    <w:p>
      <w:pPr>
        <w:pStyle w:val="BodyText"/>
      </w:pPr>
      <w:r>
        <w:rPr>
          <w:bCs/>
          <w:b/>
        </w:rPr>
        <w:t xml:space="preserve">Address:</w:t>
      </w:r>
      <w:r>
        <w:t xml:space="preserve"> </w:t>
      </w:r>
      <w:r>
        <w:t xml:space="preserve">Calle Principal, Edificio Corporativo, Piso 4, Los Palos Grandes, Caracas, Venezuela.</w:t>
      </w:r>
    </w:p>
    <w:p>
      <w:pPr>
        <w:pStyle w:val="BodyText"/>
      </w:pPr>
      <w:r>
        <w:rPr>
          <w:bCs/>
          <w:b/>
        </w:rPr>
        <w:t xml:space="preserve">RIF:</w:t>
      </w:r>
      <w:r>
        <w:t xml:space="preserve"> </w:t>
      </w:r>
      <w:r>
        <w:t xml:space="preserve">J-98765432-1</w:t>
      </w:r>
    </w:p>
    <w:p>
      <w:pPr>
        <w:pStyle w:val="BodyText"/>
      </w:pPr>
      <w:r>
        <w:rPr>
          <w:bCs/>
          <w:b/>
        </w:rPr>
        <w:t xml:space="preserve">Email:</w:t>
      </w:r>
      <w:r>
        <w:t xml:space="preserve"> </w:t>
      </w:r>
      <w:r>
        <w:t xml:space="preserve">finanzas@grupoinmobiliario.com.ve</w:t>
      </w:r>
    </w:p>
    <w:bookmarkEnd w:id="22"/>
    <w:p>
      <w:pPr>
        <w:pStyle w:val="BodyText"/>
      </w:pPr>
      <w:r>
        <w:t xml:space="preserve">This invoice represents the professional fees for architectural design, urban planning consultation, and technical supervision services rendered for the residential development project located in the Altamira sector of Caracas, Venezuela. These services adhere to the standards set by the Colegio de Arquitectos de Venezuela and local municipal regulations.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rPr>
                <w:bCs/>
                <w:b/>
              </w:rPr>
              <w:t xml:space="preserve">Phase I: Conceptual Design &amp; Feasibility Study</w:t>
            </w:r>
            <w:r>
              <w:br/>
            </w:r>
            <w:r>
              <w:t xml:space="preserve">Initial site analysis of the Caracas topography, zoning verification with the Alcaldía de Chacao, and development of conceptual massing models. Includes three (3) client presentation meetings.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Phase II: Schematic Design &amp; 3D Visualization</w:t>
            </w:r>
            <w:r>
              <w:br/>
            </w:r>
            <w:r>
              <w:t xml:space="preserve">Development of floor plans, elevations, and sections. Creation of high-fidelity photorealistic 3D renderings to visualize the integration of the structure within the Caracas urban landscape.</w:t>
            </w:r>
          </w:p>
        </w:tc>
        <w:tc>
          <w:tcPr/>
          <w:p>
            <w:pPr>
              <w:pStyle w:val="Compact"/>
              <w:jc w:val="left"/>
            </w:pPr>
            <w:r>
              <w:t xml:space="preserve">60 Hours</w:t>
            </w:r>
          </w:p>
        </w:tc>
        <w:tc>
          <w:tcPr/>
          <w:p>
            <w:pPr>
              <w:pStyle w:val="Compact"/>
              <w:jc w:val="left"/>
            </w:pPr>
            <w:r>
              <w:t xml:space="preserve">$150.00</w:t>
            </w:r>
          </w:p>
        </w:tc>
        <w:tc>
          <w:tcPr/>
          <w:p>
            <w:pPr>
              <w:pStyle w:val="Compact"/>
              <w:jc w:val="left"/>
            </w:pPr>
            <w:r>
              <w:t xml:space="preserve">$9,000.00</w:t>
            </w:r>
          </w:p>
        </w:tc>
      </w:tr>
      <w:tr>
        <w:tc>
          <w:tcPr/>
          <w:p>
            <w:pPr>
              <w:pStyle w:val="Compact"/>
              <w:jc w:val="left"/>
            </w:pPr>
            <w:r>
              <w:rPr>
                <w:bCs/>
                <w:b/>
              </w:rPr>
              <w:t xml:space="preserve">Phase III: Design Development &amp; Structural Coordination</w:t>
            </w:r>
            <w:r>
              <w:br/>
            </w:r>
            <w:r>
              <w:t xml:space="preserve">Detailed architectural drawings coordinating with structural and MEP engineers. Specification of local materials suitable for the Venezuelan climate and seismic requirements.</w:t>
            </w:r>
          </w:p>
        </w:tc>
        <w:tc>
          <w:tcPr/>
          <w:p>
            <w:pPr>
              <w:pStyle w:val="Compact"/>
              <w:jc w:val="left"/>
            </w:pPr>
            <w:r>
              <w:t xml:space="preserve">80 Hours</w:t>
            </w:r>
          </w:p>
        </w:tc>
        <w:tc>
          <w:tcPr/>
          <w:p>
            <w:pPr>
              <w:pStyle w:val="Compact"/>
              <w:jc w:val="left"/>
            </w:pPr>
            <w:r>
              <w:t xml:space="preserve">$150.00</w:t>
            </w:r>
          </w:p>
        </w:tc>
        <w:tc>
          <w:tcPr/>
          <w:p>
            <w:pPr>
              <w:pStyle w:val="Compact"/>
              <w:jc w:val="left"/>
            </w:pPr>
            <w:r>
              <w:t xml:space="preserve">$12,000.00</w:t>
            </w:r>
          </w:p>
        </w:tc>
      </w:tr>
      <w:tr>
        <w:tc>
          <w:tcPr/>
          <w:p>
            <w:pPr>
              <w:pStyle w:val="Compact"/>
              <w:jc w:val="left"/>
            </w:pPr>
            <w:r>
              <w:rPr>
                <w:bCs/>
                <w:b/>
              </w:rPr>
              <w:t xml:space="preserve">Phase IV: Construction Documentation (Planos Ejecutivos)</w:t>
            </w:r>
            <w:r>
              <w:br/>
            </w:r>
            <w:r>
              <w:t xml:space="preserve">Preparation of full construction document set for permitting and bidding. Includes detailed joinery, finishes schedule, and compliance with Venezuelan building codes (Reglamento de Construcción).</w:t>
            </w:r>
          </w:p>
        </w:tc>
        <w:tc>
          <w:tcPr/>
          <w:p>
            <w:pPr>
              <w:pStyle w:val="Compact"/>
              <w:jc w:val="left"/>
            </w:pPr>
            <w:r>
              <w:t xml:space="preserve">120 Hours</w:t>
            </w:r>
          </w:p>
        </w:tc>
        <w:tc>
          <w:tcPr/>
          <w:p>
            <w:pPr>
              <w:pStyle w:val="Compact"/>
              <w:jc w:val="left"/>
            </w:pPr>
            <w:r>
              <w:t xml:space="preserve">$150.00</w:t>
            </w:r>
          </w:p>
        </w:tc>
        <w:tc>
          <w:tcPr/>
          <w:p>
            <w:pPr>
              <w:pStyle w:val="Compact"/>
              <w:jc w:val="left"/>
            </w:pPr>
            <w:r>
              <w:t xml:space="preserve">$18,000.00</w:t>
            </w:r>
          </w:p>
        </w:tc>
      </w:tr>
      <w:tr>
        <w:tc>
          <w:tcPr/>
          <w:p>
            <w:pPr>
              <w:pStyle w:val="Compact"/>
              <w:jc w:val="left"/>
            </w:pPr>
            <w:r>
              <w:rPr>
                <w:bCs/>
                <w:b/>
              </w:rPr>
              <w:t xml:space="preserve">Phase V: Municipal Permitting Assistance</w:t>
            </w:r>
            <w:r>
              <w:br/>
            </w:r>
            <w:r>
              <w:t xml:space="preserve">Administrative support for the submission of architectural plans to the local municipality in Caracas. Includes revisions required by the urban planning department.</w:t>
            </w:r>
          </w:p>
        </w:tc>
        <w:tc>
          <w:tcPr/>
          <w:p>
            <w:pPr>
              <w:pStyle w:val="Compact"/>
              <w:jc w:val="left"/>
            </w:pPr>
            <w:r>
              <w:t xml:space="preserve">Flat Fee</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Phase VI: Construction Administration &amp; Site Visits</w:t>
            </w:r>
            <w:r>
              <w:br/>
            </w:r>
            <w:r>
              <w:t xml:space="preserve">Monthly site inspections in Caracas to ensure construction aligns with the architectural design. Review of shop drawings and submittals.</w:t>
            </w:r>
          </w:p>
        </w:tc>
        <w:tc>
          <w:tcPr/>
          <w:p>
            <w:pPr>
              <w:pStyle w:val="Compact"/>
              <w:jc w:val="left"/>
            </w:pPr>
            <w:r>
              <w:t xml:space="preserve">10 Visits</w:t>
            </w:r>
          </w:p>
        </w:tc>
        <w:tc>
          <w:tcPr/>
          <w:p>
            <w:pPr>
              <w:pStyle w:val="Compact"/>
              <w:jc w:val="left"/>
            </w:pPr>
            <w:r>
              <w:t xml:space="preserve">$400.00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$51,500.00</w:t>
            </w:r>
          </w:p>
        </w:tc>
      </w:tr>
      <w:tr>
        <w:tc>
          <w:tcPr/>
          <w:p>
            <w:pPr>
              <w:pStyle w:val="Compact"/>
              <w:jc w:val="left"/>
            </w:pPr>
            <w:r>
              <w:t xml:space="preserve">Discount (Early Payment):</w:t>
            </w:r>
          </w:p>
        </w:tc>
        <w:tc>
          <w:tcPr/>
          <w:p>
            <w:pPr>
              <w:pStyle w:val="Compact"/>
              <w:jc w:val="left"/>
            </w:pPr>
            <w:r>
              <w:t xml:space="preserve">-$0.00</w:t>
            </w:r>
          </w:p>
        </w:tc>
      </w:tr>
      <w:tr>
        <w:tc>
          <w:tcPr/>
          <w:p>
            <w:pPr>
              <w:pStyle w:val="Compact"/>
              <w:jc w:val="left"/>
            </w:pPr>
            <w:r>
              <w:t xml:space="preserve">VAT (IVA 16% - If applicable per local law):</w:t>
            </w:r>
          </w:p>
        </w:tc>
        <w:tc>
          <w:tcPr/>
          <w:p>
            <w:pPr>
              <w:pStyle w:val="Compact"/>
              <w:jc w:val="left"/>
            </w:pPr>
            <w:r>
              <w:t xml:space="preserve">$8,240.00</w:t>
            </w:r>
          </w:p>
        </w:tc>
      </w:tr>
      <w:tr>
        <w:tc>
          <w:tcPr/>
          <w:p>
            <w:pPr>
              <w:pStyle w:val="Compact"/>
              <w:jc w:val="left"/>
            </w:pPr>
            <w:r>
              <w:t xml:space="preserve">Total Due:</w:t>
            </w:r>
          </w:p>
        </w:tc>
        <w:tc>
          <w:tcPr/>
          <w:p>
            <w:pPr>
              <w:pStyle w:val="Compact"/>
              <w:jc w:val="left"/>
            </w:pPr>
            <w:r>
              <w:t xml:space="preserve">$59,740.00</w:t>
            </w:r>
          </w:p>
        </w:tc>
      </w:tr>
    </w:tbl>
    <w:bookmarkStart w:id="23" w:name="payment-terms-conditions"/>
    <w:p>
      <w:pPr>
        <w:pStyle w:val="Heading4"/>
      </w:pPr>
      <w:r>
        <w:t xml:space="preserve">Payment Terms &amp; Conditions:</w:t>
      </w:r>
    </w:p>
    <w:p>
      <w:pPr>
        <w:pStyle w:val="FirstParagraph"/>
      </w:pPr>
      <w:r>
        <w:t xml:space="preserve">1.</w:t>
      </w:r>
      <w:r>
        <w:t xml:space="preserve"> </w:t>
      </w:r>
      <w:r>
        <w:rPr>
          <w:bCs/>
          <w:b/>
        </w:rPr>
        <w:t xml:space="preserve">Currency:</w:t>
      </w:r>
      <w:r>
        <w:t xml:space="preserve"> </w:t>
      </w:r>
      <w:r>
        <w:t xml:space="preserve">This invoice is issued in United States Dollars (USD). Payment may be made in USD cash, via international wire transfer, or in Bolívares (VES) at the official exchange rate published by the Central Bank of Venezuela (BCV) on the date of payment, as per current Venezuelan financial regulations.</w:t>
      </w:r>
    </w:p>
    <w:p>
      <w:pPr>
        <w:pStyle w:val="BodyText"/>
      </w:pPr>
      <w:r>
        <w:t xml:space="preserve">2.</w:t>
      </w:r>
      <w:r>
        <w:t xml:space="preserve"> </w:t>
      </w:r>
      <w:r>
        <w:rPr>
          <w:bCs/>
          <w:b/>
        </w:rPr>
        <w:t xml:space="preserve">Due Date:</w:t>
      </w:r>
      <w:r>
        <w:t xml:space="preserve"> </w:t>
      </w:r>
      <w:r>
        <w:t xml:space="preserve">Payment is due within 14 days of the invoice date. Late payments may incur a penalty interest rate of 2% per month.</w:t>
      </w:r>
    </w:p>
    <w:p>
      <w:pPr>
        <w:pStyle w:val="BodyText"/>
      </w:pPr>
      <w:r>
        <w:t xml:space="preserve">3.</w:t>
      </w:r>
      <w:r>
        <w:t xml:space="preserve"> </w:t>
      </w:r>
      <w:r>
        <w:rPr>
          <w:bCs/>
          <w:b/>
        </w:rPr>
        <w:t xml:space="preserve">Bank Details:</w:t>
      </w:r>
      <w:r>
        <w:br/>
      </w:r>
      <w:r>
        <w:t xml:space="preserve">Bank: Banco Mercantil</w:t>
      </w:r>
      <w:r>
        <w:br/>
      </w:r>
      <w:r>
        <w:t xml:space="preserve">Account Name: Estudio de Arquitectura Caracas C.A.</w:t>
      </w:r>
      <w:r>
        <w:br/>
      </w:r>
      <w:r>
        <w:t xml:space="preserve">Account Number: 0105-1234-5678-9012-34</w:t>
      </w:r>
      <w:r>
        <w:br/>
      </w:r>
      <w:r>
        <w:t xml:space="preserve">SWIFT Code: BCRIVENC</w:t>
      </w:r>
    </w:p>
    <w:p>
      <w:pPr>
        <w:pStyle w:val="BodyText"/>
      </w:pPr>
      <w:r>
        <w:t xml:space="preserve">4.</w:t>
      </w:r>
      <w:r>
        <w:t xml:space="preserve"> </w:t>
      </w:r>
      <w:r>
        <w:rPr>
          <w:bCs/>
          <w:b/>
        </w:rPr>
        <w:t xml:space="preserve">Scope:</w:t>
      </w:r>
      <w:r>
        <w:t xml:space="preserve"> </w:t>
      </w:r>
      <w:r>
        <w:t xml:space="preserve">This invoice covers the architectural services described above. Any additional changes requested by the client after the approval of Phase III will be billed separately as change orders.</w:t>
      </w:r>
    </w:p>
    <w:p>
      <w:pPr>
        <w:pStyle w:val="BodyText"/>
      </w:pPr>
      <w:r>
        <w:t xml:space="preserve">5.</w:t>
      </w:r>
      <w:r>
        <w:t xml:space="preserve"> </w:t>
      </w:r>
      <w:r>
        <w:rPr>
          <w:bCs/>
          <w:b/>
        </w:rPr>
        <w:t xml:space="preserve">Legal Compliance:</w:t>
      </w:r>
      <w:r>
        <w:t xml:space="preserve"> </w:t>
      </w:r>
      <w:r>
        <w:t xml:space="preserve">This document serves as a formal request for payment and complies with the tax obligations of the Bolivarian Republic of Venezuela.</w:t>
      </w:r>
    </w:p>
    <w:bookmarkEnd w:id="23"/>
    <w:p>
      <w:pPr>
        <w:pStyle w:val="BodyText"/>
      </w:pPr>
      <w:r>
        <w:rPr>
          <w:bCs/>
          <w:b/>
        </w:rPr>
        <w:t xml:space="preserve">Authorized by (Architect):</w:t>
      </w:r>
    </w:p>
    <w:p>
      <w:pPr>
        <w:pStyle w:val="BodyText"/>
      </w:pPr>
      <w:r>
        <w:t xml:space="preserve">Carlos A. Rodríguez</w:t>
      </w:r>
    </w:p>
    <w:p>
      <w:pPr>
        <w:pStyle w:val="BodyText"/>
      </w:pPr>
      <w:r>
        <w:t xml:space="preserve">Principal Architect</w:t>
      </w:r>
    </w:p>
    <w:p>
      <w:pPr>
        <w:pStyle w:val="BodyText"/>
      </w:pPr>
      <w:r>
        <w:t xml:space="preserve">Colegio de Arquitectos de Venezuela</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This invoice is generated electronically and is valid without a physical signature if accompanied by the digital seal of the issuer.</w:t>
      </w:r>
      <w:r>
        <w:t xml:space="preserve"> </w:t>
      </w:r>
      <w:r>
        <w:t xml:space="preserve">For questions regarding this invoice, please contact our billing department in Caracas, Venezuela.</w:t>
      </w:r>
      <w:r>
        <w:t xml:space="preserve"> </w:t>
      </w:r>
      <w:r>
        <w:t xml:space="preserve">Thank you for your business and trust in our architectural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Caracas, Venezuela</dc:title>
  <dc:creator/>
  <dc:language>en</dc:language>
  <cp:keywords/>
  <dcterms:created xsi:type="dcterms:W3CDTF">2026-10-10T04:08:19Z</dcterms:created>
  <dcterms:modified xsi:type="dcterms:W3CDTF">2026-10-10T04:08:19Z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