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GmbH</w:t>
      </w:r>
      <w:r>
        <w:t xml:space="preserve"> </w:t>
      </w:r>
      <w:r>
        <w:t xml:space="preserve">-</w:t>
      </w:r>
      <w:r>
        <w:t xml:space="preserve"> </w:t>
      </w:r>
      <w:r>
        <w:t xml:space="preserve">Frankfurt,</w:t>
      </w:r>
      <w:r>
        <w:t xml:space="preserve"> </w:t>
      </w:r>
      <w:r>
        <w:t xml:space="preserve">Germany</w:t>
      </w:r>
    </w:p>
    <w:bookmarkStart w:id="20" w:name="astronomer-gmbh"/>
    <w:p>
      <w:pPr>
        <w:pStyle w:val="Heading1"/>
      </w:pPr>
      <w:r>
        <w:t xml:space="preserve">Astronomer GmbH</w:t>
      </w:r>
    </w:p>
    <w:p>
      <w:pPr>
        <w:pStyle w:val="FirstParagraph"/>
      </w:pPr>
      <w:r>
        <w:t xml:space="preserve">Stellar Data Engineering Solutions</w:t>
      </w:r>
    </w:p>
    <w:p>
      <w:pPr>
        <w:pStyle w:val="BodyText"/>
      </w:pPr>
      <w:r>
        <w:t xml:space="preserve">Neue Mainzer Straße 142</w:t>
      </w:r>
    </w:p>
    <w:p>
      <w:pPr>
        <w:pStyle w:val="BodyText"/>
      </w:pPr>
      <w:r>
        <w:t xml:space="preserve">60311 Frankfurt am Main, Germany</w:t>
      </w:r>
    </w:p>
    <w:p>
      <w:pPr>
        <w:pStyle w:val="BodyText"/>
      </w:pPr>
      <w:r>
        <w:t xml:space="preserve">Tel: +49 (0)69 8877 4420</w:t>
      </w:r>
    </w:p>
    <w:p>
      <w:pPr>
        <w:pStyle w:val="BodyText"/>
      </w:pPr>
      <w:r>
        <w:t xml:space="preserve">Email: billing@astronomer.de</w:t>
      </w:r>
    </w:p>
    <w:p>
      <w:pPr>
        <w:pStyle w:val="BodyText"/>
      </w:pPr>
      <w:r>
        <w:t xml:space="preserve">USt-IdNr.: DE 318 442 771</w:t>
      </w:r>
    </w:p>
    <w:p>
      <w:pPr>
        <w:pStyle w:val="BodyText"/>
      </w:pPr>
      <w:r>
        <w:t xml:space="preserve">Handelsregister: HRB 98 442,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AST-2025-FRA-00487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PO-2025-1187-FRA</w:t>
      </w:r>
    </w:p>
    <w:bookmarkEnd w:id="21"/>
    <w:bookmarkStart w:id="22" w:name="bill-from-service-provider"/>
    <w:p>
      <w:pPr>
        <w:pStyle w:val="Heading3"/>
      </w:pPr>
      <w:r>
        <w:t xml:space="preserve">Bill From (Service Provider)</w:t>
      </w:r>
    </w:p>
    <w:p>
      <w:pPr>
        <w:pStyle w:val="FirstParagraph"/>
      </w:pPr>
      <w:r>
        <w:rPr>
          <w:bCs/>
          <w:b/>
        </w:rPr>
        <w:t xml:space="preserve">Astronomer GmbH</w:t>
      </w:r>
    </w:p>
    <w:p>
      <w:pPr>
        <w:pStyle w:val="BodyText"/>
      </w:pPr>
      <w:r>
        <w:t xml:space="preserve">Neue Mainzer Straße 142</w:t>
      </w:r>
    </w:p>
    <w:p>
      <w:pPr>
        <w:pStyle w:val="BodyText"/>
      </w:pPr>
      <w:r>
        <w:t xml:space="preserve">60311 Frankfurt am Main</w:t>
      </w:r>
    </w:p>
    <w:p>
      <w:pPr>
        <w:pStyle w:val="BodyText"/>
      </w:pPr>
      <w:r>
        <w:t xml:space="preserve">Germany</w:t>
      </w:r>
    </w:p>
    <w:p>
      <w:pPr>
        <w:pStyle w:val="BodyText"/>
      </w:pPr>
      <w:r>
        <w:t xml:space="preserve">VAT ID: DE 318 442 771</w:t>
      </w:r>
    </w:p>
    <w:bookmarkEnd w:id="22"/>
    <w:bookmarkStart w:id="23" w:name="bill-to-client"/>
    <w:p>
      <w:pPr>
        <w:pStyle w:val="Heading3"/>
      </w:pPr>
      <w:r>
        <w:t xml:space="preserve">Bill To (Client)</w:t>
      </w:r>
    </w:p>
    <w:p>
      <w:pPr>
        <w:pStyle w:val="FirstParagraph"/>
      </w:pPr>
      <w:r>
        <w:rPr>
          <w:bCs/>
          <w:b/>
        </w:rPr>
        <w:t xml:space="preserve">Frankfurt Financial Data Services AG</w:t>
      </w:r>
    </w:p>
    <w:p>
      <w:pPr>
        <w:pStyle w:val="BodyText"/>
      </w:pPr>
      <w:r>
        <w:t xml:space="preserve">Opernplatz 18</w:t>
      </w:r>
    </w:p>
    <w:p>
      <w:pPr>
        <w:pStyle w:val="BodyText"/>
      </w:pPr>
      <w:r>
        <w:t xml:space="preserve">60311 Frankfurt am Main</w:t>
      </w:r>
    </w:p>
    <w:p>
      <w:pPr>
        <w:pStyle w:val="BodyText"/>
      </w:pPr>
      <w:r>
        <w:t xml:space="preserve">Germany</w:t>
      </w:r>
    </w:p>
    <w:p>
      <w:pPr>
        <w:pStyle w:val="BodyText"/>
      </w:pPr>
      <w:r>
        <w:t xml:space="preserve">VAT ID: DE 294 551 883</w:t>
      </w:r>
    </w:p>
    <w:p>
      <w:pPr>
        <w:pStyle w:val="BodyText"/>
      </w:pPr>
      <w:r>
        <w:t xml:space="preserve">Attn: Dr. Markus Weber,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Astronomer Platform – Enterprise License (Monthly Subscription) for data pipeline orchestration, workflow management, and real-time analytics infrastructure hosted in Frankfurt data center (AWS eu-central-1)</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19%</w:t>
            </w:r>
          </w:p>
        </w:tc>
      </w:tr>
      <w:tr>
        <w:tc>
          <w:tcPr/>
          <w:p>
            <w:pPr>
              <w:pStyle w:val="Compact"/>
              <w:jc w:val="left"/>
            </w:pPr>
            <w:r>
              <w:t xml:space="preserve">2</w:t>
            </w:r>
          </w:p>
        </w:tc>
        <w:tc>
          <w:tcPr/>
          <w:p>
            <w:pPr>
              <w:pStyle w:val="Compact"/>
              <w:jc w:val="left"/>
            </w:pPr>
            <w:r>
              <w:t xml:space="preserve">Professional Services – Astronomer Data Engineering Consulting: Design and implementation of ETL/ELT pipelines for financial data aggregation, including Apache Airflow DAG development, dbt model configuration, and data quality validation frameworks</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Astronomer Platform – Premium Support &amp; Maintenance (24/7 SLA): Incident response, system monitoring, patch management, and dedicated technical account management for Frankfurt-based operations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19%</w:t>
            </w:r>
          </w:p>
        </w:tc>
      </w:tr>
      <w:tr>
        <w:tc>
          <w:tcPr/>
          <w:p>
            <w:pPr>
              <w:pStyle w:val="Compact"/>
              <w:jc w:val="left"/>
            </w:pPr>
            <w:r>
              <w:t xml:space="preserve">4</w:t>
            </w:r>
          </w:p>
        </w:tc>
        <w:tc>
          <w:tcPr/>
          <w:p>
            <w:pPr>
              <w:pStyle w:val="Compact"/>
              <w:jc w:val="left"/>
            </w:pPr>
            <w:r>
              <w:t xml:space="preserve">On-Site Training Workshop – Astronomer Platform Administration: Two-day intensive training session conducted at client premises in Frankfurt am Main, covering platform deployment, security configuration, GDPR compliance settings, and team onboarding for 12 participants</w:t>
            </w:r>
          </w:p>
        </w:tc>
        <w:tc>
          <w:tcPr/>
          <w:p>
            <w:pPr>
              <w:pStyle w:val="Compact"/>
              <w:jc w:val="left"/>
            </w:pPr>
            <w:r>
              <w:t xml:space="preserve">2 days</w:t>
            </w:r>
          </w:p>
        </w:tc>
        <w:tc>
          <w:tcPr/>
          <w:p>
            <w:pPr>
              <w:pStyle w:val="Compact"/>
              <w:jc w:val="left"/>
            </w:pPr>
            <w:r>
              <w:t xml:space="preserve">3,400.00</w:t>
            </w:r>
          </w:p>
        </w:tc>
        <w:tc>
          <w:tcPr/>
          <w:p>
            <w:pPr>
              <w:pStyle w:val="Compact"/>
              <w:jc w:val="left"/>
            </w:pPr>
            <w:r>
              <w:t xml:space="preserve">6,800.00</w:t>
            </w:r>
          </w:p>
        </w:tc>
        <w:tc>
          <w:tcPr/>
          <w:p>
            <w:pPr>
              <w:pStyle w:val="Compact"/>
              <w:jc w:val="left"/>
            </w:pPr>
            <w:r>
              <w:t xml:space="preserve">19%</w:t>
            </w:r>
          </w:p>
        </w:tc>
      </w:tr>
      <w:tr>
        <w:tc>
          <w:tcPr/>
          <w:p>
            <w:pPr>
              <w:pStyle w:val="Compact"/>
              <w:jc w:val="left"/>
            </w:pPr>
            <w:r>
              <w:t xml:space="preserve">5</w:t>
            </w:r>
          </w:p>
        </w:tc>
        <w:tc>
          <w:tcPr/>
          <w:p>
            <w:pPr>
              <w:pStyle w:val="Compact"/>
              <w:jc w:val="left"/>
            </w:pPr>
            <w:r>
              <w:t xml:space="preserve">Custom Data Integration Module – Development of proprietary connectors for Frankfurt Stock Exchange (Deutsche Börse) real-time market data feeds, including API integration, data transformation logic, and automated alerting systems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19%</w:t>
            </w:r>
          </w:p>
        </w:tc>
      </w:tr>
      <w:tr>
        <w:tc>
          <w:tcPr/>
          <w:p>
            <w:pPr>
              <w:pStyle w:val="Compact"/>
              <w:jc w:val="left"/>
            </w:pPr>
            <w:r>
              <w:t xml:space="preserve">6</w:t>
            </w:r>
          </w:p>
        </w:tc>
        <w:tc>
          <w:tcPr/>
          <w:p>
            <w:pPr>
              <w:pStyle w:val="Compact"/>
              <w:jc w:val="left"/>
            </w:pPr>
            <w:r>
              <w:t xml:space="preserve">Cloud Infrastructure Surcharge – Additional compute and storage resources provisioned on Frankfurt region servers to handle peak trading volume data processing during May 2025 reporting period</w:t>
            </w:r>
          </w:p>
        </w:tc>
        <w:tc>
          <w:tcPr/>
          <w:p>
            <w:pPr>
              <w:pStyle w:val="Compact"/>
              <w:jc w:val="left"/>
            </w:pPr>
            <w:r>
              <w:t xml:space="preserve">1</w:t>
            </w:r>
          </w:p>
        </w:tc>
        <w:tc>
          <w:tcPr/>
          <w:p>
            <w:pPr>
              <w:pStyle w:val="Compact"/>
              <w:jc w:val="left"/>
            </w:pPr>
            <w:r>
              <w:t xml:space="preserve">1,340.00</w:t>
            </w:r>
          </w:p>
        </w:tc>
        <w:tc>
          <w:tcPr/>
          <w:p>
            <w:pPr>
              <w:pStyle w:val="Compact"/>
              <w:jc w:val="left"/>
            </w:pPr>
            <w:r>
              <w:t xml:space="preserve">1,340.00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30,900.00 EUR</w:t>
            </w:r>
          </w:p>
        </w:tc>
      </w:tr>
      <w:tr>
        <w:tc>
          <w:tcPr/>
          <w:p>
            <w:pPr>
              <w:pStyle w:val="Compact"/>
              <w:jc w:val="left"/>
            </w:pPr>
            <w:r>
              <w:t xml:space="preserve">VAT (MwSt) 19%</w:t>
            </w:r>
            <w:r>
              <w:t xml:space="preserve"> </w:t>
            </w:r>
            <w:r>
              <w:t xml:space="preserve">§ 14 UStG</w:t>
            </w:r>
          </w:p>
        </w:tc>
        <w:tc>
          <w:tcPr/>
          <w:p>
            <w:pPr>
              <w:pStyle w:val="Compact"/>
              <w:jc w:val="left"/>
            </w:pPr>
            <w:r>
              <w:t xml:space="preserve">5,871.00 EUR</w:t>
            </w:r>
          </w:p>
        </w:tc>
      </w:tr>
      <w:tr>
        <w:tc>
          <w:tcPr/>
          <w:p>
            <w:pPr>
              <w:pStyle w:val="Compact"/>
              <w:jc w:val="left"/>
            </w:pPr>
            <w:r>
              <w:t xml:space="preserve">Grand Total (Brutto)</w:t>
            </w:r>
          </w:p>
        </w:tc>
        <w:tc>
          <w:tcPr/>
          <w:p>
            <w:pPr>
              <w:pStyle w:val="Compact"/>
              <w:jc w:val="left"/>
            </w:pPr>
            <w:r>
              <w:t xml:space="preserve">36,771.00 EUR</w:t>
            </w:r>
          </w:p>
        </w:tc>
      </w:tr>
    </w:tbl>
    <w:bookmarkStart w:id="24" w:name="payment-instructions-bank-transfer-sepa"/>
    <w:p>
      <w:pPr>
        <w:pStyle w:val="Heading3"/>
      </w:pPr>
      <w:r>
        <w:t xml:space="preserve">Payment Instructions – Bank Transfer (SEPA)</w:t>
      </w:r>
    </w:p>
    <w:p>
      <w:pPr>
        <w:pStyle w:val="FirstParagraph"/>
      </w:pPr>
      <w:r>
        <w:rPr>
          <w:bCs/>
          <w:b/>
        </w:rPr>
        <w:t xml:space="preserve">Beneficiary:</w:t>
      </w:r>
      <w:r>
        <w:t xml:space="preserve"> </w:t>
      </w:r>
      <w:r>
        <w:t xml:space="preserve">Astronomer GmbH</w:t>
      </w:r>
    </w:p>
    <w:p>
      <w:pPr>
        <w:pStyle w:val="BodyText"/>
      </w:pPr>
      <w:r>
        <w:rPr>
          <w:bCs/>
          <w:b/>
        </w:rPr>
        <w:t xml:space="preserve">IBAN:</w:t>
      </w:r>
      <w:r>
        <w:t xml:space="preserve"> </w:t>
      </w:r>
      <w:r>
        <w:t xml:space="preserve">DE89 5001 0517 0648 4898 90</w:t>
      </w:r>
    </w:p>
    <w:p>
      <w:pPr>
        <w:pStyle w:val="BodyText"/>
      </w:pPr>
      <w:r>
        <w:rPr>
          <w:bCs/>
          <w:b/>
        </w:rPr>
        <w:t xml:space="preserve">BIC/SWIFT:</w:t>
      </w:r>
      <w:r>
        <w:t xml:space="preserve"> </w:t>
      </w:r>
      <w:r>
        <w:t xml:space="preserve">PBNKDEFF</w:t>
      </w:r>
    </w:p>
    <w:p>
      <w:pPr>
        <w:pStyle w:val="BodyText"/>
      </w:pPr>
      <w:r>
        <w:rPr>
          <w:bCs/>
          <w:b/>
        </w:rPr>
        <w:t xml:space="preserve">Bank:</w:t>
      </w:r>
      <w:r>
        <w:t xml:space="preserve"> </w:t>
      </w:r>
      <w:r>
        <w:t xml:space="preserve">Postbank Frankfurt am Main</w:t>
      </w:r>
    </w:p>
    <w:p>
      <w:pPr>
        <w:pStyle w:val="BodyText"/>
      </w:pPr>
      <w:r>
        <w:rPr>
          <w:bCs/>
          <w:b/>
        </w:rPr>
        <w:t xml:space="preserve">Reference (Verwendungszweck):</w:t>
      </w:r>
      <w:r>
        <w:t xml:space="preserve"> </w:t>
      </w:r>
      <w:r>
        <w:t xml:space="preserve">AST-2025-FRA-00487 / PO-2025-1187-FRA</w:t>
      </w:r>
    </w:p>
    <w:p>
      <w:pPr>
        <w:pStyle w:val="BodyText"/>
      </w:pPr>
      <w:r>
        <w:rPr>
          <w:bCs/>
          <w:b/>
        </w:rPr>
        <w:t xml:space="preserve">Payment Terms:</w:t>
      </w:r>
      <w:r>
        <w:t xml:space="preserve"> </w:t>
      </w:r>
      <w:r>
        <w:t xml:space="preserve">Net 30 days from invoice date. Payment due no later than 15 July 2025.</w:t>
      </w:r>
    </w:p>
    <w:p>
      <w:pPr>
        <w:pStyle w:val="BodyText"/>
      </w:pPr>
      <w:r>
        <w:rPr>
          <w:bCs/>
          <w:b/>
        </w:rPr>
        <w:t xml:space="preserve">Late Payment:</w:t>
      </w:r>
      <w:r>
        <w:t xml:space="preserve"> </w:t>
      </w:r>
      <w:r>
        <w:t xml:space="preserve">In accordance with § 288 BGB, a default interest of 8 percentage points above the base rate applies to overdue amounts.</w:t>
      </w:r>
    </w:p>
    <w:bookmarkEnd w:id="24"/>
    <w:bookmarkStart w:id="25" w:name="legal-regulatory-notes"/>
    <w:p>
      <w:pPr>
        <w:pStyle w:val="Heading3"/>
      </w:pPr>
      <w:r>
        <w:t xml:space="preserve">Legal &amp; Regulatory Notes</w:t>
      </w:r>
    </w:p>
    <w:p>
      <w:pPr>
        <w:pStyle w:val="FirstParagraph"/>
      </w:pPr>
      <w:r>
        <w:t xml:space="preserve">This invoice is issued in accordance with § 14 of the German VAT Act (Umsatzsteuergesetz – UStG) and § 4 No. 8a UStG. Astronomer GmbH is a registered business entity in Frankfurt am Main, Germany, and is subject to German value-added tax regulations.</w:t>
      </w:r>
    </w:p>
    <w:p>
      <w:pPr>
        <w:pStyle w:val="BodyText"/>
      </w:pPr>
      <w:r>
        <w:t xml:space="preserve">The services described herein are provided under the Master Service Agreement (MSA) dated 01 January 2025, Reference No. MSA-AST-FRA-2025-001, between Astronomer GmbH and Frankfurt Financial Data Services AG. All terms and conditions of said agreement apply to this invoice.</w:t>
      </w:r>
    </w:p>
    <w:p>
      <w:pPr>
        <w:pStyle w:val="BodyText"/>
      </w:pPr>
      <w:r>
        <w:t xml:space="preserve">Astronomer GmbH complies with all applicable data protection regulations under the General Data Protection Regulation (GDPR / DSGVO) and the German Federal Data Protection Act (Bundesdatenschutzgesetz – BDSG). All data processing related to this engagement is conducted within the Frankfurt am Main data center region to ensure data sovereignty within Germany.</w:t>
      </w:r>
    </w:p>
    <w:p>
      <w:pPr>
        <w:pStyle w:val="BodyText"/>
      </w:pPr>
      <w:r>
        <w:t xml:space="preserve">This invoice constitutes a valid tax document for the purposes of German commercial bookkeeping (GoBD – Grundsätze zur ordnungsmäßigen Führung und Aufbewahrung von Büchern, Aufzeichnungen und Unterlagen in elektronischer Form). The client is entitled to deduct the VAT amount stated herein as input tax (Vorsteuer) in accordance with § 15 UStG, provided all statutory requirements are met.</w:t>
      </w:r>
    </w:p>
    <w:p>
      <w:pPr>
        <w:pStyle w:val="BodyText"/>
      </w:pPr>
      <w:r>
        <w:t xml:space="preserve">Any disputes arising from this invoice or the underlying services shall be governed by the laws of the Federal Republic of Germany. The exclusive place of jurisdiction is Frankfurt am Main, Germany, as stipulated in the Master Service Agreement.</w:t>
      </w:r>
    </w:p>
    <w:p>
      <w:pPr>
        <w:pStyle w:val="BodyText"/>
      </w:pPr>
      <w:r>
        <w:t xml:space="preserve">Astronomer GmbH reserves the right to correct this invoice in the event of clerical errors in accordance with § 14c UStG. In such cases, a corrected invoice (Korrekturrechnung) will be issued within the statutory timeframe.</w:t>
      </w:r>
    </w:p>
    <w:bookmarkEnd w:id="25"/>
    <w:p>
      <w:pPr>
        <w:pStyle w:val="BodyText"/>
      </w:pPr>
      <w:r>
        <w:rPr>
          <w:bCs/>
          <w:b/>
        </w:rPr>
        <w:t xml:space="preserve">Astronomer GmbH</w:t>
      </w:r>
      <w:r>
        <w:t xml:space="preserve"> </w:t>
      </w:r>
      <w:r>
        <w:t xml:space="preserve">| Neue Mainzer Straße 142, 60311 Frankfurt am Main, Germany</w:t>
      </w:r>
    </w:p>
    <w:p>
      <w:pPr>
        <w:pStyle w:val="BodyText"/>
      </w:pPr>
      <w:r>
        <w:t xml:space="preserve">Managing Director: Dr. Elena Hartmann | USt-IdNr.: DE 318 442 771 | HRB 98 442, Amtsgericht Frankfurt am Main</w:t>
      </w:r>
    </w:p>
    <w:p>
      <w:pPr>
        <w:pStyle w:val="BodyText"/>
      </w:pPr>
      <w:r>
        <w:t xml:space="preserve">This invoice was generated electronically on 15 June 2025. No signature is required in accordance with § 14 Abs. 4 UStG.</w:t>
      </w:r>
    </w:p>
    <w:p>
      <w:pPr>
        <w:pStyle w:val="BodyText"/>
      </w:pPr>
      <w:r>
        <w:t xml:space="preserve">Thank you for your business. Astronomer GmbH – Advancing Data Engineering Excellence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GmbH - Frankfurt, Germany</dc:title>
  <dc:creator/>
  <dc:language>en</dc:language>
  <cp:keywords/>
  <dcterms:created xsi:type="dcterms:W3CDTF">2026-10-10T06:27:55Z</dcterms:created>
  <dcterms:modified xsi:type="dcterms:W3CDTF">2026-10-10T06:27:55Z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