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andes-audit-advisory-s.r.l."/>
    <w:p>
      <w:pPr>
        <w:pStyle w:val="Heading1"/>
      </w:pPr>
      <w:r>
        <w:t xml:space="preserve">Andes Audit &amp; Advisory S.R.L.</w:t>
      </w:r>
    </w:p>
    <w:p>
      <w:pPr>
        <w:pStyle w:val="FirstParagraph"/>
      </w:pPr>
      <w:r>
        <w:t xml:space="preserve">Av. Corrientes 2340, Piso 12, C1043AAB</w:t>
      </w:r>
    </w:p>
    <w:p>
      <w:pPr>
        <w:pStyle w:val="BodyText"/>
      </w:pPr>
      <w:r>
        <w:t xml:space="preserve">Buenos Aires, Argentina</w:t>
      </w:r>
    </w:p>
    <w:p>
      <w:pPr>
        <w:pStyle w:val="BodyText"/>
      </w:pPr>
      <w:r>
        <w:t xml:space="preserve">CUIT: 30-71234567-8</w:t>
      </w:r>
    </w:p>
    <w:p>
      <w:pPr>
        <w:pStyle w:val="BodyText"/>
      </w:pPr>
      <w:r>
        <w:t xml:space="preserve">Phone: +54 11 4321-5678</w:t>
      </w:r>
    </w:p>
    <w:p>
      <w:pPr>
        <w:pStyle w:val="BodyText"/>
      </w:pPr>
      <w:r>
        <w:t xml:space="preserve">Email: billing@andesaudit.com.ar</w:t>
      </w:r>
    </w:p>
    <w:bookmarkEnd w:id="20"/>
    <w:bookmarkStart w:id="21" w:name="invoice"/>
    <w:p>
      <w:pPr>
        <w:pStyle w:val="Heading2"/>
      </w:pPr>
      <w:r>
        <w:t xml:space="preserve">INVOICE</w:t>
      </w:r>
    </w:p>
    <w:p>
      <w:pPr>
        <w:pStyle w:val="FirstParagraph"/>
      </w:pPr>
      <w:r>
        <w:t xml:space="preserve">Invoice No.: INV-2025-04871</w:t>
      </w:r>
    </w:p>
    <w:p>
      <w:pPr>
        <w:pStyle w:val="BodyText"/>
      </w:pPr>
      <w:r>
        <w:t xml:space="preserve">Date of Issue: 15 June 2025</w:t>
      </w:r>
    </w:p>
    <w:p>
      <w:pPr>
        <w:pStyle w:val="BodyText"/>
      </w:pPr>
      <w:r>
        <w:t xml:space="preserve">Due Date: 15 July 2025</w:t>
      </w:r>
    </w:p>
    <w:p>
      <w:pPr>
        <w:pStyle w:val="BodyText"/>
      </w:pPr>
      <w:r>
        <w:t xml:space="preserve">Auditor Services</w:t>
      </w:r>
    </w:p>
    <w:bookmarkEnd w:id="21"/>
    <w:bookmarkStart w:id="22" w:name="billed-to-client"/>
    <w:p>
      <w:pPr>
        <w:pStyle w:val="Heading3"/>
      </w:pPr>
      <w:r>
        <w:t xml:space="preserve">Billed To (Client)</w:t>
      </w:r>
    </w:p>
    <w:p>
      <w:pPr>
        <w:pStyle w:val="FirstParagraph"/>
      </w:pPr>
      <w:r>
        <w:rPr>
          <w:bCs/>
          <w:b/>
        </w:rPr>
        <w:t xml:space="preserve">Grupo Industrial del Plata S.A.</w:t>
      </w:r>
    </w:p>
    <w:p>
      <w:pPr>
        <w:pStyle w:val="BodyText"/>
      </w:pPr>
      <w:r>
        <w:t xml:space="preserve">Av. del Libertador 5120, Piso 8</w:t>
      </w:r>
    </w:p>
    <w:p>
      <w:pPr>
        <w:pStyle w:val="BodyText"/>
      </w:pPr>
      <w:r>
        <w:t xml:space="preserve">C1427CWO, Buenos Aires, Argentina</w:t>
      </w:r>
    </w:p>
    <w:p>
      <w:pPr>
        <w:pStyle w:val="BodyText"/>
      </w:pPr>
      <w:r>
        <w:t xml:space="preserve">CUIT: 30-69876543-2</w:t>
      </w:r>
    </w:p>
    <w:p>
      <w:pPr>
        <w:pStyle w:val="BodyText"/>
      </w:pPr>
      <w:r>
        <w:t xml:space="preserve">Attn: Lic. María Fernández, CFO</w:t>
      </w:r>
    </w:p>
    <w:bookmarkEnd w:id="22"/>
    <w:bookmarkStart w:id="23" w:name="invoice-details"/>
    <w:p>
      <w:pPr>
        <w:pStyle w:val="Heading3"/>
      </w:pPr>
      <w:r>
        <w:t xml:space="preserve">Invoice Details</w:t>
      </w:r>
    </w:p>
    <w:p>
      <w:pPr>
        <w:pStyle w:val="FirstParagraph"/>
      </w:pPr>
      <w:r>
        <w:rPr>
          <w:bCs/>
          <w:b/>
        </w:rPr>
        <w:t xml:space="preserve">Service Type:</w:t>
      </w:r>
      <w:r>
        <w:t xml:space="preserve"> </w:t>
      </w:r>
      <w:r>
        <w:t xml:space="preserve">Annual Financial Audit</w:t>
      </w:r>
    </w:p>
    <w:p>
      <w:pPr>
        <w:pStyle w:val="BodyText"/>
      </w:pPr>
      <w:r>
        <w:rPr>
          <w:bCs/>
          <w:b/>
        </w:rPr>
        <w:t xml:space="preserve">Audit Period:</w:t>
      </w:r>
      <w:r>
        <w:t xml:space="preserve"> </w:t>
      </w:r>
      <w:r>
        <w:t xml:space="preserve">01 Jan 2024 – 31 Dec 2024</w:t>
      </w:r>
    </w:p>
    <w:p>
      <w:pPr>
        <w:pStyle w:val="BodyText"/>
      </w:pPr>
      <w:r>
        <w:rPr>
          <w:bCs/>
          <w:b/>
        </w:rPr>
        <w:t xml:space="preserve">Reference:</w:t>
      </w:r>
      <w:r>
        <w:t xml:space="preserve"> </w:t>
      </w:r>
      <w:r>
        <w:t xml:space="preserve">Contract AUD-2024-0092</w:t>
      </w:r>
    </w:p>
    <w:p>
      <w:pPr>
        <w:pStyle w:val="BodyText"/>
      </w:pPr>
      <w:r>
        <w:rPr>
          <w:bCs/>
          <w:b/>
        </w:rPr>
        <w:t xml:space="preserve">Currency:</w:t>
      </w:r>
      <w:r>
        <w:t xml:space="preserve"> </w:t>
      </w:r>
      <w:r>
        <w:t xml:space="preserve">Argentine Peso (ARS)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w:t>
            </w:r>
          </w:p>
        </w:tc>
        <w:tc>
          <w:tcPr/>
          <w:p>
            <w:pPr>
              <w:pStyle w:val="Compact"/>
              <w:jc w:val="left"/>
            </w:pPr>
            <w:r>
              <w:t xml:space="preserve">Quantity</w:t>
            </w:r>
          </w:p>
        </w:tc>
        <w:tc>
          <w:tcPr/>
          <w:p>
            <w:pPr>
              <w:pStyle w:val="Compact"/>
              <w:jc w:val="left"/>
            </w:pPr>
            <w:r>
              <w:t xml:space="preserve">Unit (hrs)</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Planning and risk assessment for the annual financial audit of Grupo Industrial del Plata S.A., including review of internal controls, materiality thresholds, and audit strategy in compliance with Argentine GAAP (NIC/IFRS) and CNV regulations.</w:t>
            </w:r>
          </w:p>
        </w:tc>
        <w:tc>
          <w:tcPr/>
          <w:p>
            <w:pPr>
              <w:pStyle w:val="Compact"/>
              <w:jc w:val="left"/>
            </w:pPr>
            <w:r>
              <w:t xml:space="preserve">1</w:t>
            </w:r>
          </w:p>
        </w:tc>
        <w:tc>
          <w:tcPr/>
          <w:p>
            <w:pPr>
              <w:pStyle w:val="Compact"/>
              <w:jc w:val="left"/>
            </w:pPr>
            <w:r>
              <w:t xml:space="preserve">40</w:t>
            </w:r>
          </w:p>
        </w:tc>
        <w:tc>
          <w:tcPr/>
          <w:p>
            <w:pPr>
              <w:pStyle w:val="Compact"/>
              <w:jc w:val="left"/>
            </w:pPr>
            <w:r>
              <w:t xml:space="preserve">18,500.00</w:t>
            </w:r>
          </w:p>
        </w:tc>
        <w:tc>
          <w:tcPr/>
          <w:p>
            <w:pPr>
              <w:pStyle w:val="Compact"/>
              <w:jc w:val="left"/>
            </w:pPr>
            <w:r>
              <w:t xml:space="preserve">740,000.00</w:t>
            </w:r>
          </w:p>
        </w:tc>
      </w:tr>
      <w:tr>
        <w:tc>
          <w:tcPr/>
          <w:p>
            <w:pPr>
              <w:pStyle w:val="Compact"/>
              <w:jc w:val="left"/>
            </w:pPr>
            <w:r>
              <w:t xml:space="preserve">2</w:t>
            </w:r>
          </w:p>
        </w:tc>
        <w:tc>
          <w:tcPr/>
          <w:p>
            <w:pPr>
              <w:pStyle w:val="Compact"/>
              <w:jc w:val="left"/>
            </w:pPr>
            <w:r>
              <w:t xml:space="preserve">Fieldwork: substantive testing of financial statements, verification of accounts receivable, inventory valuation at the Buenos Aires warehouse facilities, cash and bank reconciliations, and confirmation of third-party balances with Argentine financial institutions.</w:t>
            </w:r>
          </w:p>
        </w:tc>
        <w:tc>
          <w:tcPr/>
          <w:p>
            <w:pPr>
              <w:pStyle w:val="Compact"/>
              <w:jc w:val="left"/>
            </w:pPr>
            <w:r>
              <w:t xml:space="preserve">1</w:t>
            </w:r>
          </w:p>
        </w:tc>
        <w:tc>
          <w:tcPr/>
          <w:p>
            <w:pPr>
              <w:pStyle w:val="Compact"/>
              <w:jc w:val="left"/>
            </w:pPr>
            <w:r>
              <w:t xml:space="preserve">120</w:t>
            </w:r>
          </w:p>
        </w:tc>
        <w:tc>
          <w:tcPr/>
          <w:p>
            <w:pPr>
              <w:pStyle w:val="Compact"/>
              <w:jc w:val="left"/>
            </w:pPr>
            <w:r>
              <w:t xml:space="preserve">16,800.00</w:t>
            </w:r>
          </w:p>
        </w:tc>
        <w:tc>
          <w:tcPr/>
          <w:p>
            <w:pPr>
              <w:pStyle w:val="Compact"/>
              <w:jc w:val="left"/>
            </w:pPr>
            <w:r>
              <w:t xml:space="preserve">2,016,000.00</w:t>
            </w:r>
          </w:p>
        </w:tc>
      </w:tr>
      <w:tr>
        <w:tc>
          <w:tcPr/>
          <w:p>
            <w:pPr>
              <w:pStyle w:val="Compact"/>
              <w:jc w:val="left"/>
            </w:pPr>
            <w:r>
              <w:t xml:space="preserve">3</w:t>
            </w:r>
          </w:p>
        </w:tc>
        <w:tc>
          <w:tcPr/>
          <w:p>
            <w:pPr>
              <w:pStyle w:val="Compact"/>
              <w:jc w:val="left"/>
            </w:pPr>
            <w:r>
              <w:t xml:space="preserve">Review of tax compliance and fiscal obligations before the Administración Federal de Ingresos Públicos (AFIP), including verification of IVA filings, Ganancias tax calculations, and contributions to the Argentine social security system (ANSES).</w:t>
            </w:r>
          </w:p>
        </w:tc>
        <w:tc>
          <w:tcPr/>
          <w:p>
            <w:pPr>
              <w:pStyle w:val="Compact"/>
              <w:jc w:val="left"/>
            </w:pPr>
            <w:r>
              <w:t xml:space="preserve">1</w:t>
            </w:r>
          </w:p>
        </w:tc>
        <w:tc>
          <w:tcPr/>
          <w:p>
            <w:pPr>
              <w:pStyle w:val="Compact"/>
              <w:jc w:val="left"/>
            </w:pPr>
            <w:r>
              <w:t xml:space="preserve">35</w:t>
            </w:r>
          </w:p>
        </w:tc>
        <w:tc>
          <w:tcPr/>
          <w:p>
            <w:pPr>
              <w:pStyle w:val="Compact"/>
              <w:jc w:val="left"/>
            </w:pPr>
            <w:r>
              <w:t xml:space="preserve">17,200.00</w:t>
            </w:r>
          </w:p>
        </w:tc>
        <w:tc>
          <w:tcPr/>
          <w:p>
            <w:pPr>
              <w:pStyle w:val="Compact"/>
              <w:jc w:val="left"/>
            </w:pPr>
            <w:r>
              <w:t xml:space="preserve">602,000.00</w:t>
            </w:r>
          </w:p>
        </w:tc>
      </w:tr>
      <w:tr>
        <w:tc>
          <w:tcPr/>
          <w:p>
            <w:pPr>
              <w:pStyle w:val="Compact"/>
              <w:jc w:val="left"/>
            </w:pPr>
            <w:r>
              <w:t xml:space="preserve">4</w:t>
            </w:r>
          </w:p>
        </w:tc>
        <w:tc>
          <w:tcPr/>
          <w:p>
            <w:pPr>
              <w:pStyle w:val="Compact"/>
              <w:jc w:val="left"/>
            </w:pPr>
            <w:r>
              <w:t xml:space="preserve">Preparation and issuance of the independent Auditor's Report, management letter, and communication to those charged with governance, in accordance with Argentine auditing standards (NIA) and the requirements of the Comisión Nacional de Valores (CNV).</w:t>
            </w:r>
          </w:p>
        </w:tc>
        <w:tc>
          <w:tcPr/>
          <w:p>
            <w:pPr>
              <w:pStyle w:val="Compact"/>
              <w:jc w:val="left"/>
            </w:pPr>
            <w:r>
              <w:t xml:space="preserve">1</w:t>
            </w:r>
          </w:p>
        </w:tc>
        <w:tc>
          <w:tcPr/>
          <w:p>
            <w:pPr>
              <w:pStyle w:val="Compact"/>
              <w:jc w:val="left"/>
            </w:pPr>
            <w:r>
              <w:t xml:space="preserve">25</w:t>
            </w:r>
          </w:p>
        </w:tc>
        <w:tc>
          <w:tcPr/>
          <w:p>
            <w:pPr>
              <w:pStyle w:val="Compact"/>
              <w:jc w:val="left"/>
            </w:pPr>
            <w:r>
              <w:t xml:space="preserve">19,500.00</w:t>
            </w:r>
          </w:p>
        </w:tc>
        <w:tc>
          <w:tcPr/>
          <w:p>
            <w:pPr>
              <w:pStyle w:val="Compact"/>
              <w:jc w:val="left"/>
            </w:pPr>
            <w:r>
              <w:t xml:space="preserve">487,500.00</w:t>
            </w:r>
          </w:p>
        </w:tc>
      </w:tr>
      <w:tr>
        <w:tc>
          <w:tcPr/>
          <w:p>
            <w:pPr>
              <w:pStyle w:val="Compact"/>
              <w:jc w:val="left"/>
            </w:pPr>
            <w:r>
              <w:t xml:space="preserve">5</w:t>
            </w:r>
          </w:p>
        </w:tc>
        <w:tc>
          <w:tcPr/>
          <w:p>
            <w:pPr>
              <w:pStyle w:val="Compact"/>
              <w:jc w:val="left"/>
            </w:pPr>
            <w:r>
              <w:t xml:space="preserve">Post-audit consultation and follow-up meetings with the Board of Directors and the Audit Committee of Grupo Industrial del Plata S.A., held at the client's offices in Buenos Aires, including discussion of findings, remediation plans, and recommendations for the upcoming fiscal year.</w:t>
            </w:r>
          </w:p>
        </w:tc>
        <w:tc>
          <w:tcPr/>
          <w:p>
            <w:pPr>
              <w:pStyle w:val="Compact"/>
              <w:jc w:val="left"/>
            </w:pPr>
            <w:r>
              <w:t xml:space="preserve">2</w:t>
            </w:r>
          </w:p>
        </w:tc>
        <w:tc>
          <w:tcPr/>
          <w:p>
            <w:pPr>
              <w:pStyle w:val="Compact"/>
              <w:jc w:val="left"/>
            </w:pPr>
            <w:r>
              <w:t xml:space="preserve">4</w:t>
            </w:r>
          </w:p>
        </w:tc>
        <w:tc>
          <w:tcPr/>
          <w:p>
            <w:pPr>
              <w:pStyle w:val="Compact"/>
              <w:jc w:val="left"/>
            </w:pPr>
            <w:r>
              <w:t xml:space="preserve">15,000.00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left"/>
            </w:pPr>
            <w:r>
              <w:t xml:space="preserve">3,965,500.00</w:t>
            </w:r>
          </w:p>
        </w:tc>
      </w:tr>
      <w:tr>
        <w:tc>
          <w:tcPr/>
          <w:p>
            <w:pPr>
              <w:pStyle w:val="Compact"/>
              <w:jc w:val="left"/>
            </w:pPr>
            <w:r>
              <w:t xml:space="preserve">IVA (21%) – Argentine Value Added Tax</w:t>
            </w:r>
          </w:p>
        </w:tc>
        <w:tc>
          <w:tcPr/>
          <w:p>
            <w:pPr>
              <w:pStyle w:val="Compact"/>
              <w:jc w:val="left"/>
            </w:pPr>
            <w:r>
              <w:t xml:space="preserve">832,755.00</w:t>
            </w:r>
          </w:p>
        </w:tc>
      </w:tr>
      <w:tr>
        <w:tc>
          <w:tcPr/>
          <w:p>
            <w:pPr>
              <w:pStyle w:val="Compact"/>
              <w:jc w:val="left"/>
            </w:pPr>
            <w:r>
              <w:t xml:space="preserve">Percepción de IVA (3%)</w:t>
            </w:r>
          </w:p>
        </w:tc>
        <w:tc>
          <w:tcPr/>
          <w:p>
            <w:pPr>
              <w:pStyle w:val="Compact"/>
              <w:jc w:val="left"/>
            </w:pPr>
            <w:r>
              <w:t xml:space="preserve">118,965.00</w:t>
            </w:r>
          </w:p>
        </w:tc>
      </w:tr>
      <w:tr>
        <w:tc>
          <w:tcPr/>
          <w:p>
            <w:pPr>
              <w:pStyle w:val="Compact"/>
              <w:jc w:val="left"/>
            </w:pPr>
            <w:r>
              <w:t xml:space="preserve">Percepción de Ganancias (6%)</w:t>
            </w:r>
          </w:p>
        </w:tc>
        <w:tc>
          <w:tcPr/>
          <w:p>
            <w:pPr>
              <w:pStyle w:val="Compact"/>
              <w:jc w:val="left"/>
            </w:pPr>
            <w:r>
              <w:t xml:space="preserve">237,930.00</w:t>
            </w:r>
          </w:p>
        </w:tc>
      </w:tr>
      <w:tr>
        <w:tc>
          <w:tcPr/>
          <w:p>
            <w:pPr>
              <w:pStyle w:val="Compact"/>
              <w:jc w:val="left"/>
            </w:pPr>
            <w:r>
              <w:t xml:space="preserve">TOTAL DUE (ARS)</w:t>
            </w:r>
          </w:p>
        </w:tc>
        <w:tc>
          <w:tcPr/>
          <w:p>
            <w:pPr>
              <w:pStyle w:val="Compact"/>
              <w:jc w:val="left"/>
            </w:pPr>
            <w:r>
              <w:t xml:space="preserve">5,155,150.00</w:t>
            </w:r>
          </w:p>
        </w:tc>
      </w:tr>
    </w:tbl>
    <w:bookmarkStart w:id="24" w:name="payment-terms-and-important-notes"/>
    <w:p>
      <w:pPr>
        <w:pStyle w:val="Heading3"/>
      </w:pPr>
      <w:r>
        <w:t xml:space="preserve">Payment Terms and Important Notes</w:t>
      </w:r>
    </w:p>
    <w:p>
      <w:pPr>
        <w:numPr>
          <w:ilvl w:val="0"/>
          <w:numId w:val="1001"/>
        </w:numPr>
        <w:pStyle w:val="Compact"/>
      </w:pPr>
      <w:r>
        <w:rPr>
          <w:bCs/>
          <w:b/>
        </w:rPr>
        <w:t xml:space="preserve">Payment Method:</w:t>
      </w:r>
      <w:r>
        <w:t xml:space="preserve"> </w:t>
      </w:r>
      <w:r>
        <w:t xml:space="preserve">Bank transfer (DEP/RED) to Banco de la Nación Argentina, Sucursal Buenos Aires, CBU: 0110001000000000000001, CUIT: 30-71234567-8. Payment must be made within thirty (30) calendar days from the date of issue of this invoice.</w:t>
      </w:r>
    </w:p>
    <w:p>
      <w:pPr>
        <w:numPr>
          <w:ilvl w:val="0"/>
          <w:numId w:val="1001"/>
        </w:numPr>
        <w:pStyle w:val="Compact"/>
      </w:pPr>
      <w:r>
        <w:rPr>
          <w:bCs/>
          <w:b/>
        </w:rPr>
        <w:t xml:space="preserve">Late Payment:</w:t>
      </w:r>
      <w:r>
        <w:t xml:space="preserve"> </w:t>
      </w:r>
      <w:r>
        <w:t xml:space="preserve">In accordance with Argentine commercial law (Ley de Cambios, Ley 19.550), a late payment interest of 1.5% per month will be applied to any outstanding balance after the due date of 15 July 2025.</w:t>
      </w:r>
    </w:p>
    <w:p>
      <w:pPr>
        <w:numPr>
          <w:ilvl w:val="0"/>
          <w:numId w:val="1001"/>
        </w:numPr>
        <w:pStyle w:val="Compact"/>
      </w:pPr>
      <w:r>
        <w:rPr>
          <w:bCs/>
          <w:b/>
        </w:rPr>
        <w:t xml:space="preserve">Tax Documentation:</w:t>
      </w:r>
      <w:r>
        <w:t xml:space="preserve"> </w:t>
      </w:r>
      <w:r>
        <w:t xml:space="preserve">This invoice is issued in compliance with the requirements of the AFIP (Administración Federal de Ingresos Públicos) and the Argentine tax code. The client is entitled to credit the IVA amount shown herein against their own tax obligations, subject to the provisions of the Ley de IVA (Ley 23.349).</w:t>
      </w:r>
    </w:p>
    <w:p>
      <w:pPr>
        <w:numPr>
          <w:ilvl w:val="0"/>
          <w:numId w:val="1001"/>
        </w:numPr>
        <w:pStyle w:val="Compact"/>
      </w:pPr>
      <w:r>
        <w:rPr>
          <w:bCs/>
          <w:b/>
        </w:rPr>
        <w:t xml:space="preserve">Auditor Independence:</w:t>
      </w:r>
      <w:r>
        <w:t xml:space="preserve"> </w:t>
      </w:r>
      <w:r>
        <w:t xml:space="preserve">Andes Audit &amp; Advisory S.R.L. confirms that the Auditor engagement described in this invoice was performed in strict compliance with the independence requirements established by the Argentine Institute of Certified Public Accountants (ICPC) and the International Ethics Standards Board for Accountants (IESBA) Code of Ethics.</w:t>
      </w:r>
    </w:p>
    <w:p>
      <w:pPr>
        <w:numPr>
          <w:ilvl w:val="0"/>
          <w:numId w:val="1001"/>
        </w:numPr>
        <w:pStyle w:val="Compact"/>
      </w:pPr>
      <w:r>
        <w:rPr>
          <w:bCs/>
          <w:b/>
        </w:rPr>
        <w:t xml:space="preserve">Scope Limitation:</w:t>
      </w:r>
      <w:r>
        <w:t xml:space="preserve"> </w:t>
      </w:r>
      <w:r>
        <w:t xml:space="preserve">This invoice covers the annual financial audit engagement only. Any additional procedures, special investigations, or interim reviews requested by the client during the audit period in Buenos Aires will be subject to a separate invoice and prior written authorization.</w:t>
      </w:r>
    </w:p>
    <w:p>
      <w:pPr>
        <w:numPr>
          <w:ilvl w:val="0"/>
          <w:numId w:val="1001"/>
        </w:numPr>
        <w:pStyle w:val="Compact"/>
      </w:pPr>
      <w:r>
        <w:rPr>
          <w:bCs/>
          <w:b/>
        </w:rPr>
        <w:t xml:space="preserve">Dispute Resolution:</w:t>
      </w:r>
      <w:r>
        <w:t xml:space="preserve"> </w:t>
      </w:r>
      <w:r>
        <w:t xml:space="preserve">Any dispute arising from this invoice or the underlying Auditor services shall be resolved in the competent commercial courts of the City of Buenos Aires, Argentina, in accordance with the applicable provisions of the Argentine Civil and Commercial Code (Código Civil y Comercial de la Nación, Ley 26.994).</w:t>
      </w:r>
    </w:p>
    <w:bookmarkEnd w:id="24"/>
    <w:p>
      <w:pPr>
        <w:pStyle w:val="FirstParagraph"/>
      </w:pPr>
      <w:r>
        <w:rPr>
          <w:bCs/>
          <w:b/>
        </w:rPr>
        <w:t xml:space="preserve">Andes Audit &amp; Advisory S.R.L.</w:t>
      </w:r>
      <w:r>
        <w:t xml:space="preserve"> </w:t>
      </w:r>
      <w:r>
        <w:t xml:space="preserve">– Registered Auditor Firm, Buenos Aires, Argentina</w:t>
      </w:r>
    </w:p>
    <w:p>
      <w:pPr>
        <w:pStyle w:val="BodyText"/>
      </w:pPr>
      <w:r>
        <w:t xml:space="preserve">Matrícula ICPC N° 45.678 | CNV Registered Auditor Firm N° 1234</w:t>
      </w:r>
    </w:p>
    <w:p>
      <w:pPr>
        <w:pStyle w:val="BodyText"/>
      </w:pPr>
      <w:r>
        <w:t xml:space="preserve">This document constitutes a valid fiscal invoice (Factura A) issued under Argentine tax regulations.</w:t>
      </w:r>
    </w:p>
    <w:p>
      <w:pPr>
        <w:pStyle w:val="BodyText"/>
      </w:pPr>
      <w:r>
        <w:t xml:space="preserve">For questions regarding this invoice, please contact our billing department at billing@andesaudit.com.ar or +54 11 4321-5678, Monday to Friday, 9:00–18:00 (Argentina time, UTC-3).</w:t>
      </w:r>
    </w:p>
    <w:p>
      <w:pPr>
        <w:pStyle w:val="BodyText"/>
      </w:pPr>
      <w:r>
        <w:t xml:space="preserve">© 2025 Andes Audit &amp; Advisory S.R.L. All rights reserved.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Buenos Aires, Argentina</dc:title>
  <dc:creator/>
  <dc:language>en</dc:language>
  <cp:keywords/>
  <dcterms:created xsi:type="dcterms:W3CDTF">2026-10-10T08:34:50Z</dcterms:created>
  <dcterms:modified xsi:type="dcterms:W3CDTF">2026-10-10T08:34:50Z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