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meridian-audit-advisory-pty-ltd"/>
    <w:p>
      <w:pPr>
        <w:pStyle w:val="Heading1"/>
      </w:pPr>
      <w:r>
        <w:t xml:space="preserve">Meridian Audit &amp; Advisory Pty Ltd</w:t>
      </w:r>
    </w:p>
    <w:p>
      <w:pPr>
        <w:pStyle w:val="FirstParagraph"/>
      </w:pPr>
      <w:r>
        <w:t xml:space="preserve">Suite 1204, Level 12, 333 Collins Street</w:t>
      </w:r>
    </w:p>
    <w:p>
      <w:pPr>
        <w:pStyle w:val="BodyText"/>
      </w:pPr>
      <w:r>
        <w:t xml:space="preserve">Melbourne VIC 3000, Australia</w:t>
      </w:r>
    </w:p>
    <w:p>
      <w:pPr>
        <w:pStyle w:val="BodyText"/>
      </w:pPr>
      <w:r>
        <w:t xml:space="preserve">ABN: 48 123 456 789</w:t>
      </w:r>
    </w:p>
    <w:p>
      <w:pPr>
        <w:pStyle w:val="BodyText"/>
      </w:pPr>
      <w:r>
        <w:t xml:space="preserve">Phone: +61 3 9421 5678</w:t>
      </w:r>
    </w:p>
    <w:p>
      <w:pPr>
        <w:pStyle w:val="BodyText"/>
      </w:pPr>
      <w:r>
        <w:t xml:space="preserve">Email: billing@meridianaudit.com.au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AUD-MEL-2025-Q2</w:t>
      </w:r>
    </w:p>
    <w:p>
      <w:pPr>
        <w:pStyle w:val="BodyText"/>
      </w:pPr>
      <w:r>
        <w:t xml:space="preserve">GST Registered</w:t>
      </w:r>
    </w:p>
    <w:bookmarkEnd w:id="21"/>
    <w:bookmarkStart w:id="22" w:name="billed-to"/>
    <w:p>
      <w:pPr>
        <w:pStyle w:val="Heading3"/>
      </w:pPr>
      <w:r>
        <w:t xml:space="preserve">Billed To</w:t>
      </w:r>
    </w:p>
    <w:p>
      <w:pPr>
        <w:pStyle w:val="FirstParagraph"/>
      </w:pPr>
      <w:r>
        <w:rPr>
          <w:bCs/>
          <w:b/>
        </w:rPr>
        <w:t xml:space="preserve">Harbourview Property Group Pty Ltd</w:t>
      </w:r>
    </w:p>
    <w:p>
      <w:pPr>
        <w:pStyle w:val="BodyText"/>
      </w:pPr>
      <w:r>
        <w:t xml:space="preserve">Attn: Mr. David Chen, Chief Financial Officer</w:t>
      </w:r>
    </w:p>
    <w:p>
      <w:pPr>
        <w:pStyle w:val="BodyText"/>
      </w:pPr>
      <w:r>
        <w:t xml:space="preserve">Level 5, 180 Flinders Lane</w:t>
      </w:r>
    </w:p>
    <w:p>
      <w:pPr>
        <w:pStyle w:val="BodyText"/>
      </w:pPr>
      <w:r>
        <w:t xml:space="preserve">Melbourne VIC 3000, Australia</w:t>
      </w:r>
    </w:p>
    <w:p>
      <w:pPr>
        <w:pStyle w:val="BodyText"/>
      </w:pPr>
      <w:r>
        <w:t xml:space="preserve">ABN: 21 987 654 321</w:t>
      </w:r>
    </w:p>
    <w:p>
      <w:pPr>
        <w:pStyle w:val="BodyText"/>
      </w:pPr>
      <w:r>
        <w:t xml:space="preserve">Email: d.chen@harbourviewpg.com.au</w:t>
      </w:r>
    </w:p>
    <w:bookmarkEnd w:id="22"/>
    <w:bookmarkStart w:id="23" w:name="service-details"/>
    <w:p>
      <w:pPr>
        <w:pStyle w:val="Heading3"/>
      </w:pPr>
      <w:r>
        <w:t xml:space="preserve">Service Details</w:t>
      </w:r>
    </w:p>
    <w:p>
      <w:pPr>
        <w:pStyle w:val="FirstParagraph"/>
      </w:pPr>
      <w:r>
        <w:rPr>
          <w:bCs/>
          <w:b/>
        </w:rPr>
        <w:t xml:space="preserve">Engagement Type:</w:t>
      </w:r>
      <w:r>
        <w:t xml:space="preserve"> </w:t>
      </w:r>
      <w:r>
        <w:t xml:space="preserve">Annual Financial Audit</w:t>
      </w:r>
    </w:p>
    <w:p>
      <w:pPr>
        <w:pStyle w:val="BodyText"/>
      </w:pPr>
      <w:r>
        <w:rPr>
          <w:bCs/>
          <w:b/>
        </w:rPr>
        <w:t xml:space="preserve">Auditor in Charge:</w:t>
      </w:r>
      <w:r>
        <w:t xml:space="preserve"> </w:t>
      </w:r>
      <w:r>
        <w:t xml:space="preserve">Ms. Sarah Whitfield, CPA</w:t>
      </w:r>
    </w:p>
    <w:p>
      <w:pPr>
        <w:pStyle w:val="BodyText"/>
      </w:pPr>
      <w:r>
        <w:rPr>
          <w:bCs/>
          <w:b/>
        </w:rPr>
        <w:t xml:space="preserve">Period Covered:</w:t>
      </w:r>
      <w:r>
        <w:t xml:space="preserve"> </w:t>
      </w:r>
      <w:r>
        <w:t xml:space="preserve">1 July 2024 – 30 June 2025</w:t>
      </w:r>
    </w:p>
    <w:p>
      <w:pPr>
        <w:pStyle w:val="BodyText"/>
      </w:pPr>
      <w:r>
        <w:rPr>
          <w:bCs/>
          <w:b/>
        </w:rPr>
        <w:t xml:space="preserve">Location:</w:t>
      </w:r>
      <w:r>
        <w:t xml:space="preserve"> </w:t>
      </w:r>
      <w:r>
        <w:t xml:space="preserve">Australia Melbourne</w:t>
      </w:r>
    </w:p>
    <w:p>
      <w:pPr>
        <w:pStyle w:val="BodyText"/>
      </w:pPr>
      <w:r>
        <w:rPr>
          <w:bCs/>
          <w:b/>
        </w:rPr>
        <w:t xml:space="preserve">Standards:</w:t>
      </w:r>
      <w:r>
        <w:t xml:space="preserve"> </w:t>
      </w:r>
      <w:r>
        <w:t xml:space="preserve">Australian Auditing Standards (ASA)</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Auditor Services</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Planning and risk assessment for the annual financial audit engagement conducted by the Auditor in Australia Melbourne, including review of prior year working papers and identification of material risk areas across all business units.</w:t>
            </w:r>
          </w:p>
        </w:tc>
        <w:tc>
          <w:tcPr/>
          <w:p>
            <w:pPr>
              <w:pStyle w:val="Compact"/>
              <w:jc w:val="left"/>
            </w:pPr>
            <w:r>
              <w:t xml:space="preserve">24.0</w:t>
            </w:r>
          </w:p>
        </w:tc>
        <w:tc>
          <w:tcPr/>
          <w:p>
            <w:pPr>
              <w:pStyle w:val="Compact"/>
              <w:jc w:val="left"/>
            </w:pPr>
            <w:r>
              <w:t xml:space="preserve">$285.00</w:t>
            </w:r>
          </w:p>
        </w:tc>
        <w:tc>
          <w:tcPr/>
          <w:p>
            <w:pPr>
              <w:pStyle w:val="Compact"/>
              <w:jc w:val="left"/>
            </w:pPr>
            <w:r>
              <w:t xml:space="preserve">$6,840.00</w:t>
            </w:r>
          </w:p>
        </w:tc>
      </w:tr>
      <w:tr>
        <w:tc>
          <w:tcPr/>
          <w:p>
            <w:pPr>
              <w:pStyle w:val="Compact"/>
              <w:jc w:val="left"/>
            </w:pPr>
            <w:r>
              <w:t xml:space="preserve">2</w:t>
            </w:r>
          </w:p>
        </w:tc>
        <w:tc>
          <w:tcPr/>
          <w:p>
            <w:pPr>
              <w:pStyle w:val="Compact"/>
              <w:jc w:val="left"/>
            </w:pPr>
            <w:r>
              <w:t xml:space="preserve">Substantive testing of revenue, accounts receivable, and cash balances performed by the Auditor team at the client's Melbourne office, including confirmation procedures with third-party debtors and bank reconciliation verification.</w:t>
            </w:r>
          </w:p>
        </w:tc>
        <w:tc>
          <w:tcPr/>
          <w:p>
            <w:pPr>
              <w:pStyle w:val="Compact"/>
              <w:jc w:val="left"/>
            </w:pPr>
            <w:r>
              <w:t xml:space="preserve">48.0</w:t>
            </w:r>
          </w:p>
        </w:tc>
        <w:tc>
          <w:tcPr/>
          <w:p>
            <w:pPr>
              <w:pStyle w:val="Compact"/>
              <w:jc w:val="left"/>
            </w:pPr>
            <w:r>
              <w:t xml:space="preserve">$285.00</w:t>
            </w:r>
          </w:p>
        </w:tc>
        <w:tc>
          <w:tcPr/>
          <w:p>
            <w:pPr>
              <w:pStyle w:val="Compact"/>
              <w:jc w:val="left"/>
            </w:pPr>
            <w:r>
              <w:t xml:space="preserve">$13,680.00</w:t>
            </w:r>
          </w:p>
        </w:tc>
      </w:tr>
      <w:tr>
        <w:tc>
          <w:tcPr/>
          <w:p>
            <w:pPr>
              <w:pStyle w:val="Compact"/>
              <w:jc w:val="left"/>
            </w:pPr>
            <w:r>
              <w:t xml:space="preserve">3</w:t>
            </w:r>
          </w:p>
        </w:tc>
        <w:tc>
          <w:tcPr/>
          <w:p>
            <w:pPr>
              <w:pStyle w:val="Compact"/>
              <w:jc w:val="left"/>
            </w:pPr>
            <w:r>
              <w:t xml:space="preserve">Review of internal controls and governance frameworks as part of the Auditor's statutory obligations under the Corporations Act 2001 (Cth), including assessment of the board's oversight mechanisms and compliance with Australian Accounting Standards (AASB).</w:t>
            </w:r>
          </w:p>
        </w:tc>
        <w:tc>
          <w:tcPr/>
          <w:p>
            <w:pPr>
              <w:pStyle w:val="Compact"/>
              <w:jc w:val="left"/>
            </w:pPr>
            <w:r>
              <w:t xml:space="preserve">32.0</w:t>
            </w:r>
          </w:p>
        </w:tc>
        <w:tc>
          <w:tcPr/>
          <w:p>
            <w:pPr>
              <w:pStyle w:val="Compact"/>
              <w:jc w:val="left"/>
            </w:pPr>
            <w:r>
              <w:t xml:space="preserve">$310.00</w:t>
            </w:r>
          </w:p>
        </w:tc>
        <w:tc>
          <w:tcPr/>
          <w:p>
            <w:pPr>
              <w:pStyle w:val="Compact"/>
              <w:jc w:val="left"/>
            </w:pPr>
            <w:r>
              <w:t xml:space="preserve">$9,920.00</w:t>
            </w:r>
          </w:p>
        </w:tc>
      </w:tr>
      <w:tr>
        <w:tc>
          <w:tcPr/>
          <w:p>
            <w:pPr>
              <w:pStyle w:val="Compact"/>
              <w:jc w:val="left"/>
            </w:pPr>
            <w:r>
              <w:t xml:space="preserve">4</w:t>
            </w:r>
          </w:p>
        </w:tc>
        <w:tc>
          <w:tcPr/>
          <w:p>
            <w:pPr>
              <w:pStyle w:val="Compact"/>
              <w:jc w:val="left"/>
            </w:pPr>
            <w:r>
              <w:t xml:space="preserve">Fixed asset verification and impairment testing conducted by the Auditor at the client's warehouse facilities in the Melbourne metropolitan area, including physical inspection, valuation review, and depreciation schedule recalculation.</w:t>
            </w:r>
          </w:p>
        </w:tc>
        <w:tc>
          <w:tcPr/>
          <w:p>
            <w:pPr>
              <w:pStyle w:val="Compact"/>
              <w:jc w:val="left"/>
            </w:pPr>
            <w:r>
              <w:t xml:space="preserve">20.0</w:t>
            </w:r>
          </w:p>
        </w:tc>
        <w:tc>
          <w:tcPr/>
          <w:p>
            <w:pPr>
              <w:pStyle w:val="Compact"/>
              <w:jc w:val="left"/>
            </w:pPr>
            <w:r>
              <w:t xml:space="preserve">$285.00</w:t>
            </w:r>
          </w:p>
        </w:tc>
        <w:tc>
          <w:tcPr/>
          <w:p>
            <w:pPr>
              <w:pStyle w:val="Compact"/>
              <w:jc w:val="left"/>
            </w:pPr>
            <w:r>
              <w:t xml:space="preserve">$5,700.00</w:t>
            </w:r>
          </w:p>
        </w:tc>
      </w:tr>
      <w:tr>
        <w:tc>
          <w:tcPr/>
          <w:p>
            <w:pPr>
              <w:pStyle w:val="Compact"/>
              <w:jc w:val="left"/>
            </w:pPr>
            <w:r>
              <w:t xml:space="preserve">5</w:t>
            </w:r>
          </w:p>
        </w:tc>
        <w:tc>
          <w:tcPr/>
          <w:p>
            <w:pPr>
              <w:pStyle w:val="Compact"/>
              <w:jc w:val="left"/>
            </w:pPr>
            <w:r>
              <w:t xml:space="preserve">Preparation of the Auditor's independent audit report and management letter, including documentation of any material misstatements, going concern assessment, and recommendations for improvement in financial reporting processes within Australia Melbourne operations.</w:t>
            </w:r>
          </w:p>
        </w:tc>
        <w:tc>
          <w:tcPr/>
          <w:p>
            <w:pPr>
              <w:pStyle w:val="Compact"/>
              <w:jc w:val="left"/>
            </w:pPr>
            <w:r>
              <w:t xml:space="preserve">16.0</w:t>
            </w:r>
          </w:p>
        </w:tc>
        <w:tc>
          <w:tcPr/>
          <w:p>
            <w:pPr>
              <w:pStyle w:val="Compact"/>
              <w:jc w:val="left"/>
            </w:pPr>
            <w:r>
              <w:t xml:space="preserve">$310.00</w:t>
            </w:r>
          </w:p>
        </w:tc>
        <w:tc>
          <w:tcPr/>
          <w:p>
            <w:pPr>
              <w:pStyle w:val="Compact"/>
              <w:jc w:val="left"/>
            </w:pPr>
            <w:r>
              <w:t xml:space="preserve">$4,960.00</w:t>
            </w:r>
          </w:p>
        </w:tc>
      </w:tr>
      <w:tr>
        <w:tc>
          <w:tcPr/>
          <w:p>
            <w:pPr>
              <w:pStyle w:val="Compact"/>
              <w:jc w:val="left"/>
            </w:pPr>
            <w:r>
              <w:t xml:space="preserve">6</w:t>
            </w:r>
          </w:p>
        </w:tc>
        <w:tc>
          <w:tcPr/>
          <w:p>
            <w:pPr>
              <w:pStyle w:val="Compact"/>
              <w:jc w:val="left"/>
            </w:pPr>
            <w:r>
              <w:t xml:space="preserve">Travel and accommodation expenses incurred by the Auditor team for on-site inspections at multiple locations across Melbourne, including the Docklands office, the Richmond warehouse, and the St Kilda retail premises during the audit fieldwork period.</w:t>
            </w:r>
          </w:p>
        </w:tc>
        <w:tc>
          <w:tcPr/>
          <w:p>
            <w:pPr>
              <w:pStyle w:val="Compact"/>
              <w:jc w:val="left"/>
            </w:pPr>
            <w:r>
              <w:t xml:space="preserve">—</w:t>
            </w:r>
          </w:p>
        </w:tc>
        <w:tc>
          <w:tcPr/>
          <w:p>
            <w:pPr>
              <w:pStyle w:val="Compact"/>
              <w:jc w:val="left"/>
            </w:pPr>
            <w:r>
              <w:t xml:space="preserve">—</w:t>
            </w:r>
          </w:p>
        </w:tc>
        <w:tc>
          <w:tcPr/>
          <w:p>
            <w:pPr>
              <w:pStyle w:val="Compact"/>
              <w:jc w:val="left"/>
            </w:pPr>
            <w:r>
              <w:t xml:space="preserve">$2,340.00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left"/>
            </w:pPr>
            <w:r>
              <w:t xml:space="preserve">$43,440.00</w:t>
            </w:r>
          </w:p>
        </w:tc>
      </w:tr>
      <w:tr>
        <w:tc>
          <w:tcPr/>
          <w:p>
            <w:pPr>
              <w:pStyle w:val="Compact"/>
              <w:jc w:val="left"/>
            </w:pPr>
            <w:r>
              <w:t xml:space="preserve">GST (10%)</w:t>
            </w:r>
          </w:p>
        </w:tc>
        <w:tc>
          <w:tcPr/>
          <w:p>
            <w:pPr>
              <w:pStyle w:val="Compact"/>
              <w:jc w:val="left"/>
            </w:pPr>
            <w:r>
              <w:t xml:space="preserve">$4,344.00</w:t>
            </w:r>
          </w:p>
        </w:tc>
      </w:tr>
      <w:tr>
        <w:tc>
          <w:tcPr/>
          <w:p>
            <w:pPr>
              <w:pStyle w:val="Compact"/>
              <w:jc w:val="left"/>
            </w:pPr>
            <w:r>
              <w:t xml:space="preserve">TOTAL PAYABLE (incl. GST)</w:t>
            </w:r>
          </w:p>
        </w:tc>
        <w:tc>
          <w:tcPr/>
          <w:p>
            <w:pPr>
              <w:pStyle w:val="Compact"/>
              <w:jc w:val="left"/>
            </w:pPr>
            <w:r>
              <w:t xml:space="preserve">$47,784.00</w:t>
            </w:r>
          </w:p>
        </w:tc>
      </w:tr>
    </w:tbl>
    <w:bookmarkStart w:id="24" w:name="invoice-notes"/>
    <w:p>
      <w:pPr>
        <w:pStyle w:val="Heading3"/>
      </w:pPr>
      <w:r>
        <w:t xml:space="preserve">Invoice Notes</w:t>
      </w:r>
    </w:p>
    <w:p>
      <w:pPr>
        <w:pStyle w:val="FirstParagraph"/>
      </w:pPr>
      <w:r>
        <w:t xml:space="preserve">This Invoice has been issued by Meridian Audit &amp; Advisory Pty Ltd in its capacity as the appointed Auditor for Harbourview Property Group Pty Ltd for the financial year ending 30 June 2025. All services were performed in accordance with Australian Auditing Standards and the requirements of the Australian Securities and Investments Commission (ASIC).</w:t>
      </w:r>
    </w:p>
    <w:p>
      <w:pPr>
        <w:pStyle w:val="BodyText"/>
      </w:pPr>
      <w:r>
        <w:t xml:space="preserve">The Auditor confirms that all procedures outlined in this Invoice were completed in Australia Melbourne between 1 August 2025 and 12 June 2025. The final audit report and management letter will be delivered to the client's board of directors within fourteen (14) business days of the Invoice due date.</w:t>
      </w:r>
    </w:p>
    <w:p>
      <w:pPr>
        <w:pStyle w:val="BodyText"/>
      </w:pPr>
      <w:r>
        <w:t xml:space="preserve">Please note that this Invoice is subject to the terms of the Audit Engagement Letter dated 15 May 2025 (Reference: AEL-2025-0312). Any disputes regarding the scope of services rendered by the Auditor should be raised in writing within thirty (30) days of the Invoice date.</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Commonwealth Bank of Australia</w:t>
      </w:r>
    </w:p>
    <w:p>
      <w:pPr>
        <w:pStyle w:val="BodyText"/>
      </w:pPr>
      <w:r>
        <w:rPr>
          <w:bCs/>
          <w:b/>
        </w:rPr>
        <w:t xml:space="preserve">Account Name:</w:t>
      </w:r>
      <w:r>
        <w:t xml:space="preserve"> </w:t>
      </w:r>
      <w:r>
        <w:t xml:space="preserve">Meridian Audit &amp; Advisory Pty Ltd</w:t>
      </w:r>
    </w:p>
    <w:p>
      <w:pPr>
        <w:pStyle w:val="BodyText"/>
      </w:pPr>
      <w:r>
        <w:rPr>
          <w:bCs/>
          <w:b/>
        </w:rPr>
        <w:t xml:space="preserve">BSB:</w:t>
      </w:r>
      <w:r>
        <w:t xml:space="preserve"> </w:t>
      </w:r>
      <w:r>
        <w:t xml:space="preserve">063-123</w:t>
      </w:r>
    </w:p>
    <w:p>
      <w:pPr>
        <w:pStyle w:val="BodyText"/>
      </w:pPr>
      <w:r>
        <w:rPr>
          <w:bCs/>
          <w:b/>
        </w:rPr>
        <w:t xml:space="preserve">Account Number:</w:t>
      </w:r>
      <w:r>
        <w:t xml:space="preserve"> </w:t>
      </w:r>
      <w:r>
        <w:t xml:space="preserve">1234 5678</w:t>
      </w:r>
    </w:p>
    <w:p>
      <w:pPr>
        <w:pStyle w:val="BodyText"/>
      </w:pPr>
      <w:r>
        <w:rPr>
          <w:bCs/>
          <w:b/>
        </w:rPr>
        <w:t xml:space="preserve">SWIFT/BIC:</w:t>
      </w:r>
      <w:r>
        <w:t xml:space="preserve"> </w:t>
      </w:r>
      <w:r>
        <w:t xml:space="preserve">CTBAAU2S</w:t>
      </w:r>
    </w:p>
    <w:p>
      <w:pPr>
        <w:pStyle w:val="BodyText"/>
      </w:pPr>
      <w:r>
        <w:rPr>
          <w:bCs/>
          <w:b/>
        </w:rPr>
        <w:t xml:space="preserve">Reference:</w:t>
      </w:r>
      <w:r>
        <w:t xml:space="preserve"> </w:t>
      </w:r>
      <w:r>
        <w:t xml:space="preserve">INV-2025-0487</w:t>
      </w:r>
    </w:p>
    <w:p>
      <w:pPr>
        <w:pStyle w:val="BodyText"/>
      </w:pPr>
      <w:r>
        <w:t xml:space="preserve">Please ensure that payment is made within thirty (30) days of the Invoice date. Late payments may incur interest at the rate of 1.5% per month in accordance with the Australian Consumer Law and the terms of our engagement agreement. Cheques should be made payable to "Meridian Audit &amp; Advisory Pty Ltd" and posted to our Melbourne office address listed above.</w:t>
      </w:r>
    </w:p>
    <w:bookmarkEnd w:id="25"/>
    <w:bookmarkStart w:id="26" w:name="terms-and-conditions"/>
    <w:p>
      <w:pPr>
        <w:pStyle w:val="Heading3"/>
      </w:pPr>
      <w:r>
        <w:t xml:space="preserve">Terms and Conditions</w:t>
      </w:r>
    </w:p>
    <w:p>
      <w:pPr>
        <w:pStyle w:val="FirstParagraph"/>
      </w:pPr>
      <w:r>
        <w:t xml:space="preserve">1. This Invoice constitutes a binding financial document issued under the Australian Consumer Law and the Corporations Act 2001 (Cth). The Auditor reserves the right to suspend further services if payment is not received by the due date specified above.</w:t>
      </w:r>
    </w:p>
    <w:p>
      <w:pPr>
        <w:pStyle w:val="BodyText"/>
      </w:pPr>
      <w:r>
        <w:t xml:space="preserve">2. All amounts stated in this Invoice are in Australian Dollars (AUD) and include Goods and Services Tax (GST) at the current rate of 10%, as required by the Australian Taxation Office (ATO) for registered entities operating in Australia Melbourne and the broader Victorian jurisdiction.</w:t>
      </w:r>
    </w:p>
    <w:p>
      <w:pPr>
        <w:pStyle w:val="BodyText"/>
      </w:pPr>
      <w:r>
        <w:t xml:space="preserve">3. The Auditor's professional liability is limited as set out in the Audit Engagement Letter. This Invoice does not constitute a guarantee of any particular audit outcome or financial statement opinion.</w:t>
      </w:r>
    </w:p>
    <w:p>
      <w:pPr>
        <w:pStyle w:val="BodyText"/>
      </w:pPr>
      <w:r>
        <w:t xml:space="preserve">4. All working papers, draft reports, and preliminary findings generated by the Auditor during the engagement remain the property of Meridian Audit &amp; Advisory Pty Ltd until final payment of this Invoice is received in full.</w:t>
      </w:r>
    </w:p>
    <w:p>
      <w:pPr>
        <w:pStyle w:val="BodyText"/>
      </w:pPr>
      <w:r>
        <w:t xml:space="preserve">5. This Invoice is valid for a period of ninety (90) days from the date of issue. After this period, the Auditor reserves the right to reissue the Invoice with any applicable adjustments for changes in GST rates or exchange rates where applicable.</w:t>
      </w:r>
    </w:p>
    <w:p>
      <w:pPr>
        <w:pStyle w:val="BodyText"/>
      </w:pPr>
      <w:r>
        <w:t xml:space="preserve">6. Governing law: The laws of the State of Victoria, Australia. Any disputes arising from this Invoice shall be subject to the exclusive jurisdiction of the courts of Australia Melbourne.</w:t>
      </w:r>
    </w:p>
    <w:bookmarkEnd w:id="26"/>
    <w:p>
      <w:pPr>
        <w:pStyle w:val="BodyText"/>
      </w:pPr>
      <w:r>
        <w:t xml:space="preserve">Meridian Audit &amp; Advisory Pty Ltd | ABN 48 123 456 789 | Melbourne VIC 3000, Australia</w:t>
      </w:r>
    </w:p>
    <w:p>
      <w:pPr>
        <w:pStyle w:val="BodyText"/>
      </w:pPr>
      <w:r>
        <w:t xml:space="preserve">This Invoice was generated electronically and is valid without a physical signature. For queries regarding this Invoice, please contact our billing department at billing@meridianaudit.com.au or +61 3 9421 5678.</w:t>
      </w:r>
    </w:p>
    <w:p>
      <w:pPr>
        <w:pStyle w:val="BodyText"/>
      </w:pPr>
      <w:r>
        <w:t xml:space="preserve">© 2025 Meridian Audit &amp; Advisory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A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Australia Melbourne</dc:title>
  <dc:creator/>
  <dc:language>en-AU</dc:language>
  <cp:keywords/>
  <dcterms:created xsi:type="dcterms:W3CDTF">2026-10-10T04:32:35Z</dcterms:created>
  <dcterms:modified xsi:type="dcterms:W3CDTF">2026-10-10T04:32:35Z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